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9D5" w:rsidRPr="00D11D6D" w:rsidRDefault="000D39D5" w:rsidP="000D39D5">
      <w:pPr>
        <w:spacing w:after="0" w:line="240" w:lineRule="auto"/>
        <w:jc w:val="center"/>
        <w:rPr>
          <w:rFonts w:ascii="C Helvetica Condensed" w:eastAsia="Times New Roman" w:hAnsi="C Helvetica Condensed" w:cs="C Helvetica Condensed"/>
          <w:sz w:val="21"/>
          <w:szCs w:val="17"/>
          <w:lang w:eastAsia="fr-FR"/>
        </w:rPr>
      </w:pPr>
      <w:r w:rsidRPr="00D11D6D">
        <w:rPr>
          <w:rFonts w:ascii="C Helvetica Condensed" w:eastAsia="Times New Roman" w:hAnsi="C Helvetica Condensed" w:cs="C Helvetica Condensed"/>
          <w:noProof/>
          <w:sz w:val="21"/>
          <w:szCs w:val="17"/>
          <w:lang w:eastAsia="fr-FR"/>
        </w:rPr>
        <w:drawing>
          <wp:inline distT="0" distB="0" distL="0" distR="0">
            <wp:extent cx="6609080" cy="1122045"/>
            <wp:effectExtent l="0" t="0" r="1270" b="1905"/>
            <wp:docPr id="41" name="Image 0" descr="Bandeau_BIS_mauve_complet_clair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andeau_BIS_mauve_complet_clair3.eps"/>
                    <pic:cNvPicPr>
                      <a:picLocks noChangeAspect="1" noChangeArrowheads="1"/>
                    </pic:cNvPicPr>
                  </pic:nvPicPr>
                  <pic:blipFill>
                    <a:blip r:embed="rId7" cstate="print"/>
                    <a:srcRect/>
                    <a:stretch>
                      <a:fillRect/>
                    </a:stretch>
                  </pic:blipFill>
                  <pic:spPr bwMode="auto">
                    <a:xfrm>
                      <a:off x="0" y="0"/>
                      <a:ext cx="6618063" cy="1123570"/>
                    </a:xfrm>
                    <a:prstGeom prst="rect">
                      <a:avLst/>
                    </a:prstGeom>
                    <a:noFill/>
                    <a:ln w="9525">
                      <a:noFill/>
                      <a:miter lim="800000"/>
                      <a:headEnd/>
                      <a:tailEnd/>
                    </a:ln>
                  </pic:spPr>
                </pic:pic>
              </a:graphicData>
            </a:graphic>
          </wp:inline>
        </w:drawing>
      </w:r>
    </w:p>
    <w:p w:rsidR="000D39D5" w:rsidRPr="00BD7BCC" w:rsidRDefault="000D39D5" w:rsidP="00670429">
      <w:pPr>
        <w:pStyle w:val="Sansinterligne"/>
        <w:ind w:right="84"/>
        <w:jc w:val="right"/>
        <w:rPr>
          <w:rFonts w:ascii="Bookman Old Style" w:hAnsi="Bookman Old Style"/>
          <w:b/>
          <w:color w:val="000080"/>
          <w:sz w:val="20"/>
          <w:szCs w:val="20"/>
        </w:rPr>
      </w:pPr>
      <w:r>
        <w:rPr>
          <w:rFonts w:ascii="Bookman Old Style" w:hAnsi="Bookman Old Style"/>
          <w:b/>
          <w:color w:val="000080"/>
          <w:sz w:val="20"/>
          <w:szCs w:val="20"/>
        </w:rPr>
        <w:t>N</w:t>
      </w:r>
      <w:r w:rsidRPr="00BD7BCC">
        <w:rPr>
          <w:rFonts w:ascii="Bookman Old Style" w:hAnsi="Bookman Old Style"/>
          <w:b/>
          <w:color w:val="000080"/>
          <w:sz w:val="20"/>
          <w:szCs w:val="20"/>
        </w:rPr>
        <w:t xml:space="preserve">° </w:t>
      </w:r>
      <w:r>
        <w:rPr>
          <w:rFonts w:ascii="Bookman Old Style" w:hAnsi="Bookman Old Style"/>
          <w:b/>
          <w:color w:val="000080"/>
          <w:sz w:val="20"/>
          <w:szCs w:val="20"/>
        </w:rPr>
        <w:t>150</w:t>
      </w:r>
      <w:r w:rsidRPr="00BD7BCC">
        <w:rPr>
          <w:rFonts w:ascii="Bookman Old Style" w:hAnsi="Bookman Old Style"/>
          <w:b/>
          <w:color w:val="000080"/>
          <w:sz w:val="20"/>
          <w:szCs w:val="20"/>
        </w:rPr>
        <w:t xml:space="preserve"> - </w:t>
      </w:r>
      <w:r>
        <w:rPr>
          <w:rFonts w:ascii="Bookman Old Style" w:hAnsi="Bookman Old Style"/>
          <w:b/>
          <w:color w:val="000080"/>
          <w:sz w:val="20"/>
          <w:szCs w:val="20"/>
        </w:rPr>
        <w:t>février</w:t>
      </w:r>
      <w:r w:rsidRPr="00BD7BCC">
        <w:rPr>
          <w:rFonts w:ascii="Bookman Old Style" w:hAnsi="Bookman Old Style"/>
          <w:b/>
          <w:color w:val="000080"/>
          <w:sz w:val="20"/>
          <w:szCs w:val="20"/>
        </w:rPr>
        <w:t xml:space="preserve"> 20</w:t>
      </w:r>
      <w:r>
        <w:rPr>
          <w:rFonts w:ascii="Bookman Old Style" w:hAnsi="Bookman Old Style"/>
          <w:b/>
          <w:color w:val="000080"/>
          <w:sz w:val="20"/>
          <w:szCs w:val="20"/>
        </w:rPr>
        <w:t>21</w:t>
      </w:r>
    </w:p>
    <w:p w:rsidR="000D39D5" w:rsidRDefault="000D39D5" w:rsidP="00670429">
      <w:pPr>
        <w:ind w:right="84"/>
        <w:jc w:val="right"/>
        <w:rPr>
          <w:b/>
          <w:sz w:val="28"/>
        </w:rPr>
      </w:pPr>
      <w:r>
        <w:rPr>
          <w:rFonts w:ascii="Bookman Old Style" w:eastAsia="Calibri" w:hAnsi="Bookman Old Style" w:cs="Times New Roman"/>
          <w:b/>
          <w:sz w:val="18"/>
          <w:szCs w:val="18"/>
        </w:rPr>
        <w:t xml:space="preserve">Léana </w:t>
      </w:r>
      <w:proofErr w:type="spellStart"/>
      <w:r>
        <w:rPr>
          <w:rFonts w:ascii="Bookman Old Style" w:eastAsia="Calibri" w:hAnsi="Bookman Old Style" w:cs="Times New Roman"/>
          <w:b/>
          <w:sz w:val="18"/>
          <w:szCs w:val="18"/>
        </w:rPr>
        <w:t>Madjou</w:t>
      </w:r>
      <w:proofErr w:type="spellEnd"/>
      <w:r>
        <w:rPr>
          <w:rFonts w:ascii="Bookman Old Style" w:eastAsia="Calibri" w:hAnsi="Bookman Old Style" w:cs="Times New Roman"/>
          <w:b/>
          <w:sz w:val="18"/>
          <w:szCs w:val="18"/>
        </w:rPr>
        <w:t xml:space="preserve"> </w:t>
      </w:r>
      <w:proofErr w:type="spellStart"/>
      <w:r w:rsidR="00255789">
        <w:rPr>
          <w:rFonts w:ascii="Bookman Old Style" w:eastAsia="Calibri" w:hAnsi="Bookman Old Style" w:cs="Times New Roman"/>
          <w:b/>
          <w:sz w:val="18"/>
          <w:szCs w:val="18"/>
        </w:rPr>
        <w:t>F</w:t>
      </w:r>
      <w:r>
        <w:rPr>
          <w:rFonts w:ascii="Bookman Old Style" w:eastAsia="Calibri" w:hAnsi="Bookman Old Style" w:cs="Times New Roman"/>
          <w:b/>
          <w:sz w:val="18"/>
          <w:szCs w:val="18"/>
        </w:rPr>
        <w:t>otsing</w:t>
      </w:r>
      <w:proofErr w:type="spellEnd"/>
      <w:r w:rsidRPr="00BD7BCC">
        <w:rPr>
          <w:rFonts w:ascii="Bookman Old Style" w:eastAsia="Calibri" w:hAnsi="Bookman Old Style" w:cs="Times New Roman"/>
          <w:b/>
          <w:sz w:val="18"/>
          <w:szCs w:val="18"/>
        </w:rPr>
        <w:t>, Département des études et des statistiques locales</w:t>
      </w:r>
      <w:r>
        <w:rPr>
          <w:rFonts w:ascii="Bookman Old Style" w:eastAsia="Calibri" w:hAnsi="Bookman Old Style" w:cs="Times New Roman"/>
          <w:b/>
          <w:sz w:val="18"/>
          <w:szCs w:val="18"/>
        </w:rPr>
        <w:t>, DGCL</w:t>
      </w:r>
    </w:p>
    <w:p w:rsidR="00607DB6" w:rsidRPr="00727135" w:rsidRDefault="002212A1" w:rsidP="002212A1">
      <w:pPr>
        <w:spacing w:after="0" w:line="240" w:lineRule="auto"/>
        <w:ind w:right="-58"/>
        <w:jc w:val="center"/>
        <w:rPr>
          <w:rFonts w:ascii="Bookman Old Style" w:hAnsi="Bookman Old Style"/>
          <w:b/>
          <w:sz w:val="23"/>
          <w:szCs w:val="23"/>
        </w:rPr>
      </w:pPr>
      <w:r>
        <w:rPr>
          <w:rFonts w:ascii="Bookman Old Style" w:hAnsi="Bookman Old Style"/>
          <w:b/>
          <w:sz w:val="23"/>
          <w:szCs w:val="23"/>
        </w:rPr>
        <w:t>L</w:t>
      </w:r>
      <w:r w:rsidRPr="002212A1">
        <w:rPr>
          <w:rFonts w:ascii="Bookman Old Style" w:hAnsi="Bookman Old Style"/>
          <w:b/>
          <w:sz w:val="23"/>
          <w:szCs w:val="23"/>
        </w:rPr>
        <w:t xml:space="preserve">es dépenses de fonctionnement </w:t>
      </w:r>
      <w:r>
        <w:rPr>
          <w:rFonts w:ascii="Bookman Old Style" w:hAnsi="Bookman Old Style"/>
          <w:b/>
          <w:sz w:val="23"/>
          <w:szCs w:val="23"/>
        </w:rPr>
        <w:t xml:space="preserve">des régions </w:t>
      </w:r>
      <w:r w:rsidRPr="002212A1">
        <w:rPr>
          <w:rFonts w:ascii="Bookman Old Style" w:hAnsi="Bookman Old Style"/>
          <w:b/>
          <w:sz w:val="23"/>
          <w:szCs w:val="23"/>
        </w:rPr>
        <w:t>se trouvent</w:t>
      </w:r>
      <w:r w:rsidR="002234B6" w:rsidRPr="002212A1">
        <w:rPr>
          <w:rFonts w:ascii="Bookman Old Style" w:hAnsi="Bookman Old Style"/>
          <w:b/>
          <w:sz w:val="23"/>
          <w:szCs w:val="23"/>
        </w:rPr>
        <w:t xml:space="preserve"> en 2019</w:t>
      </w:r>
      <w:r w:rsidRPr="002212A1">
        <w:rPr>
          <w:rFonts w:ascii="Bookman Old Style" w:hAnsi="Bookman Old Style"/>
          <w:b/>
          <w:sz w:val="23"/>
          <w:szCs w:val="23"/>
        </w:rPr>
        <w:t xml:space="preserve"> au même niveau qu’en 2015, pour les régions fusionnées </w:t>
      </w:r>
      <w:r>
        <w:rPr>
          <w:rFonts w:ascii="Bookman Old Style" w:hAnsi="Bookman Old Style"/>
          <w:b/>
          <w:sz w:val="23"/>
          <w:szCs w:val="23"/>
        </w:rPr>
        <w:t>comme</w:t>
      </w:r>
      <w:r w:rsidRPr="002212A1">
        <w:rPr>
          <w:rFonts w:ascii="Bookman Old Style" w:hAnsi="Bookman Old Style"/>
          <w:b/>
          <w:sz w:val="23"/>
          <w:szCs w:val="23"/>
        </w:rPr>
        <w:t xml:space="preserve"> pour les autres régions</w:t>
      </w:r>
      <w:r>
        <w:rPr>
          <w:rFonts w:ascii="Bookman Old Style" w:hAnsi="Bookman Old Style"/>
          <w:b/>
          <w:sz w:val="23"/>
          <w:szCs w:val="23"/>
        </w:rPr>
        <w:t>,</w:t>
      </w:r>
      <w:r w:rsidR="00607DB6" w:rsidRPr="00727135">
        <w:rPr>
          <w:rFonts w:ascii="Bookman Old Style" w:hAnsi="Bookman Old Style"/>
          <w:b/>
          <w:sz w:val="23"/>
          <w:szCs w:val="23"/>
        </w:rPr>
        <w:t xml:space="preserve"> </w:t>
      </w:r>
    </w:p>
    <w:p w:rsidR="00255789" w:rsidRPr="00727135" w:rsidRDefault="00607DB6" w:rsidP="00727135">
      <w:pPr>
        <w:spacing w:after="240" w:line="240" w:lineRule="auto"/>
        <w:ind w:left="-284" w:right="-200"/>
        <w:jc w:val="center"/>
        <w:rPr>
          <w:rFonts w:ascii="Bookman Old Style" w:hAnsi="Bookman Old Style"/>
          <w:b/>
          <w:sz w:val="23"/>
          <w:szCs w:val="23"/>
        </w:rPr>
      </w:pPr>
      <w:proofErr w:type="gramStart"/>
      <w:r w:rsidRPr="00727135">
        <w:rPr>
          <w:rFonts w:ascii="Bookman Old Style" w:hAnsi="Bookman Old Style"/>
          <w:b/>
          <w:sz w:val="23"/>
          <w:szCs w:val="23"/>
        </w:rPr>
        <w:t>hors</w:t>
      </w:r>
      <w:proofErr w:type="gramEnd"/>
      <w:r w:rsidRPr="00727135">
        <w:rPr>
          <w:rFonts w:ascii="Bookman Old Style" w:hAnsi="Bookman Old Style"/>
          <w:b/>
          <w:sz w:val="23"/>
          <w:szCs w:val="23"/>
        </w:rPr>
        <w:t xml:space="preserve"> transports transférés</w:t>
      </w:r>
      <w:r w:rsidR="00FA3A07" w:rsidRPr="00727135">
        <w:rPr>
          <w:rFonts w:ascii="Bookman Old Style" w:hAnsi="Bookman Old Style"/>
          <w:b/>
          <w:sz w:val="23"/>
          <w:szCs w:val="23"/>
        </w:rPr>
        <w:t xml:space="preserve"> et gestion des fonds européens</w:t>
      </w:r>
    </w:p>
    <w:p w:rsidR="00607DB6" w:rsidRDefault="00607DB6" w:rsidP="00607DB6">
      <w:pPr>
        <w:spacing w:after="0" w:line="240" w:lineRule="auto"/>
        <w:jc w:val="both"/>
        <w:rPr>
          <w:rFonts w:ascii="Bookman Old Style" w:hAnsi="Bookman Old Style"/>
          <w:b/>
          <w:i/>
          <w:sz w:val="20"/>
          <w:szCs w:val="20"/>
        </w:rPr>
      </w:pPr>
      <w:r w:rsidRPr="00607DB6">
        <w:rPr>
          <w:rFonts w:ascii="Bookman Old Style" w:hAnsi="Bookman Old Style"/>
          <w:b/>
          <w:i/>
          <w:sz w:val="20"/>
          <w:szCs w:val="20"/>
        </w:rPr>
        <w:t>Entre 2015 et 2019, l</w:t>
      </w:r>
      <w:r w:rsidR="00DC5DAD">
        <w:rPr>
          <w:rFonts w:ascii="Bookman Old Style" w:hAnsi="Bookman Old Style"/>
          <w:b/>
          <w:i/>
          <w:sz w:val="20"/>
          <w:szCs w:val="20"/>
        </w:rPr>
        <w:t xml:space="preserve">es frais de personnel et les charges financières des régions fusionnées ont progressé moins vite que celles des autres régions </w:t>
      </w:r>
      <w:r w:rsidR="00AE1298">
        <w:rPr>
          <w:rFonts w:ascii="Bookman Old Style" w:hAnsi="Bookman Old Style"/>
          <w:b/>
          <w:i/>
          <w:sz w:val="20"/>
          <w:szCs w:val="20"/>
        </w:rPr>
        <w:t>(</w:t>
      </w:r>
      <w:r w:rsidR="00DC5DAD">
        <w:rPr>
          <w:rFonts w:ascii="Bookman Old Style" w:hAnsi="Bookman Old Style"/>
          <w:b/>
          <w:i/>
          <w:sz w:val="20"/>
          <w:szCs w:val="20"/>
        </w:rPr>
        <w:t>hors dépenses de transport transféré</w:t>
      </w:r>
      <w:r w:rsidR="00AE1298">
        <w:rPr>
          <w:rFonts w:ascii="Bookman Old Style" w:hAnsi="Bookman Old Style"/>
          <w:b/>
          <w:i/>
          <w:sz w:val="20"/>
          <w:szCs w:val="20"/>
        </w:rPr>
        <w:t>e</w:t>
      </w:r>
      <w:r w:rsidR="00DC5DAD">
        <w:rPr>
          <w:rFonts w:ascii="Bookman Old Style" w:hAnsi="Bookman Old Style"/>
          <w:b/>
          <w:i/>
          <w:sz w:val="20"/>
          <w:szCs w:val="20"/>
        </w:rPr>
        <w:t>s des départements et hors gestion des fonds européens</w:t>
      </w:r>
      <w:r w:rsidR="00AE1298">
        <w:rPr>
          <w:rFonts w:ascii="Bookman Old Style" w:hAnsi="Bookman Old Style"/>
          <w:b/>
          <w:i/>
          <w:sz w:val="20"/>
          <w:szCs w:val="20"/>
        </w:rPr>
        <w:t>)</w:t>
      </w:r>
      <w:r w:rsidR="00DC5DAD">
        <w:rPr>
          <w:rFonts w:ascii="Bookman Old Style" w:hAnsi="Bookman Old Style"/>
          <w:b/>
          <w:i/>
          <w:sz w:val="20"/>
          <w:szCs w:val="20"/>
        </w:rPr>
        <w:t xml:space="preserve">. </w:t>
      </w:r>
      <w:r w:rsidR="00AE1298">
        <w:rPr>
          <w:rFonts w:ascii="Bookman Old Style" w:hAnsi="Bookman Old Style"/>
          <w:b/>
          <w:i/>
          <w:sz w:val="20"/>
          <w:szCs w:val="20"/>
        </w:rPr>
        <w:t>L</w:t>
      </w:r>
      <w:r w:rsidR="00DC5DAD">
        <w:rPr>
          <w:rFonts w:ascii="Bookman Old Style" w:hAnsi="Bookman Old Style"/>
          <w:b/>
          <w:i/>
          <w:sz w:val="20"/>
          <w:szCs w:val="20"/>
        </w:rPr>
        <w:t>es achats et charges externes et les subve</w:t>
      </w:r>
      <w:r w:rsidR="00DC5DAD">
        <w:rPr>
          <w:rFonts w:ascii="Bookman Old Style" w:hAnsi="Bookman Old Style"/>
          <w:b/>
          <w:i/>
          <w:sz w:val="20"/>
          <w:szCs w:val="20"/>
        </w:rPr>
        <w:t>n</w:t>
      </w:r>
      <w:r w:rsidR="00DC5DAD">
        <w:rPr>
          <w:rFonts w:ascii="Bookman Old Style" w:hAnsi="Bookman Old Style"/>
          <w:b/>
          <w:i/>
          <w:sz w:val="20"/>
          <w:szCs w:val="20"/>
        </w:rPr>
        <w:t xml:space="preserve">tions versées </w:t>
      </w:r>
      <w:r w:rsidR="00AE1298">
        <w:rPr>
          <w:rFonts w:ascii="Bookman Old Style" w:hAnsi="Bookman Old Style"/>
          <w:b/>
          <w:i/>
          <w:sz w:val="20"/>
          <w:szCs w:val="20"/>
        </w:rPr>
        <w:t>ont</w:t>
      </w:r>
      <w:r w:rsidR="00DC5DAD">
        <w:rPr>
          <w:rFonts w:ascii="Bookman Old Style" w:hAnsi="Bookman Old Style"/>
          <w:b/>
          <w:i/>
          <w:sz w:val="20"/>
          <w:szCs w:val="20"/>
        </w:rPr>
        <w:t xml:space="preserve"> en revanche augmenté plus vite </w:t>
      </w:r>
      <w:r w:rsidR="00AE1298">
        <w:rPr>
          <w:rFonts w:ascii="Bookman Old Style" w:hAnsi="Bookman Old Style"/>
          <w:b/>
          <w:i/>
          <w:sz w:val="20"/>
          <w:szCs w:val="20"/>
        </w:rPr>
        <w:t xml:space="preserve">en </w:t>
      </w:r>
      <w:r w:rsidR="00DC5DAD">
        <w:rPr>
          <w:rFonts w:ascii="Bookman Old Style" w:hAnsi="Bookman Old Style"/>
          <w:b/>
          <w:i/>
          <w:sz w:val="20"/>
          <w:szCs w:val="20"/>
        </w:rPr>
        <w:t>2019 pour les régions fusionnées,</w:t>
      </w:r>
      <w:r w:rsidR="00AE1298">
        <w:rPr>
          <w:rFonts w:ascii="Bookman Old Style" w:hAnsi="Bookman Old Style"/>
          <w:b/>
          <w:i/>
          <w:sz w:val="20"/>
          <w:szCs w:val="20"/>
        </w:rPr>
        <w:t xml:space="preserve"> si bien que les dépenses totales de fonctionnement se trouvent en définitive au même niveau en 2019 qu’en 2015</w:t>
      </w:r>
      <w:r w:rsidR="00421E03">
        <w:rPr>
          <w:rFonts w:ascii="Bookman Old Style" w:hAnsi="Bookman Old Style"/>
          <w:b/>
          <w:i/>
          <w:sz w:val="20"/>
          <w:szCs w:val="20"/>
        </w:rPr>
        <w:t>, que ce soit pour les régions fusionnées ou pour les autres régions</w:t>
      </w:r>
      <w:r w:rsidR="00DC5DAD" w:rsidRPr="00607DB6">
        <w:rPr>
          <w:rFonts w:ascii="Bookman Old Style" w:hAnsi="Bookman Old Style"/>
          <w:b/>
          <w:i/>
          <w:sz w:val="20"/>
          <w:szCs w:val="20"/>
        </w:rPr>
        <w:t>.</w:t>
      </w:r>
    </w:p>
    <w:p w:rsidR="000D39D5" w:rsidRDefault="00607DB6" w:rsidP="00607DB6">
      <w:pPr>
        <w:spacing w:after="0" w:line="240" w:lineRule="auto"/>
        <w:jc w:val="both"/>
        <w:rPr>
          <w:rFonts w:ascii="Bookman Old Style" w:hAnsi="Bookman Old Style"/>
          <w:b/>
          <w:i/>
          <w:sz w:val="20"/>
          <w:szCs w:val="20"/>
        </w:rPr>
      </w:pPr>
      <w:r w:rsidRPr="00607DB6">
        <w:rPr>
          <w:rFonts w:ascii="Bookman Old Style" w:hAnsi="Bookman Old Style"/>
          <w:b/>
          <w:i/>
          <w:sz w:val="20"/>
          <w:szCs w:val="20"/>
        </w:rPr>
        <w:t>L</w:t>
      </w:r>
      <w:r w:rsidR="00727135">
        <w:rPr>
          <w:rFonts w:ascii="Bookman Old Style" w:hAnsi="Bookman Old Style"/>
          <w:b/>
          <w:i/>
          <w:sz w:val="20"/>
          <w:szCs w:val="20"/>
        </w:rPr>
        <w:t>es indicateurs d’</w:t>
      </w:r>
      <w:r w:rsidRPr="00607DB6">
        <w:rPr>
          <w:rFonts w:ascii="Bookman Old Style" w:hAnsi="Bookman Old Style"/>
          <w:b/>
          <w:i/>
          <w:sz w:val="20"/>
          <w:szCs w:val="20"/>
        </w:rPr>
        <w:t>endettement des deux groupes de région</w:t>
      </w:r>
      <w:r w:rsidR="00727135">
        <w:rPr>
          <w:rFonts w:ascii="Bookman Old Style" w:hAnsi="Bookman Old Style"/>
          <w:b/>
          <w:i/>
          <w:sz w:val="20"/>
          <w:szCs w:val="20"/>
        </w:rPr>
        <w:t>s</w:t>
      </w:r>
      <w:r w:rsidRPr="00607DB6">
        <w:rPr>
          <w:rFonts w:ascii="Bookman Old Style" w:hAnsi="Bookman Old Style"/>
          <w:b/>
          <w:i/>
          <w:sz w:val="20"/>
          <w:szCs w:val="20"/>
        </w:rPr>
        <w:t xml:space="preserve"> </w:t>
      </w:r>
      <w:r w:rsidR="00727135">
        <w:rPr>
          <w:rFonts w:ascii="Bookman Old Style" w:hAnsi="Bookman Old Style"/>
          <w:b/>
          <w:i/>
          <w:sz w:val="20"/>
          <w:szCs w:val="20"/>
        </w:rPr>
        <w:t>sont</w:t>
      </w:r>
      <w:r w:rsidRPr="00607DB6">
        <w:rPr>
          <w:rFonts w:ascii="Bookman Old Style" w:hAnsi="Bookman Old Style"/>
          <w:b/>
          <w:i/>
          <w:sz w:val="20"/>
          <w:szCs w:val="20"/>
        </w:rPr>
        <w:t xml:space="preserve"> </w:t>
      </w:r>
      <w:r w:rsidR="00AE1298">
        <w:rPr>
          <w:rFonts w:ascii="Bookman Old Style" w:hAnsi="Bookman Old Style"/>
          <w:b/>
          <w:i/>
          <w:sz w:val="20"/>
          <w:szCs w:val="20"/>
        </w:rPr>
        <w:t xml:space="preserve">également </w:t>
      </w:r>
      <w:r w:rsidRPr="00607DB6">
        <w:rPr>
          <w:rFonts w:ascii="Bookman Old Style" w:hAnsi="Bookman Old Style"/>
          <w:b/>
          <w:i/>
          <w:sz w:val="20"/>
          <w:szCs w:val="20"/>
        </w:rPr>
        <w:t>assez p</w:t>
      </w:r>
      <w:r w:rsidR="00727135">
        <w:rPr>
          <w:rFonts w:ascii="Bookman Old Style" w:hAnsi="Bookman Old Style"/>
          <w:b/>
          <w:i/>
          <w:sz w:val="20"/>
          <w:szCs w:val="20"/>
        </w:rPr>
        <w:t>roches</w:t>
      </w:r>
      <w:r w:rsidRPr="00607DB6">
        <w:rPr>
          <w:rFonts w:ascii="Bookman Old Style" w:hAnsi="Bookman Old Style"/>
          <w:b/>
          <w:i/>
          <w:sz w:val="20"/>
          <w:szCs w:val="20"/>
        </w:rPr>
        <w:t xml:space="preserve"> au bout de quatre </w:t>
      </w:r>
      <w:r>
        <w:rPr>
          <w:rFonts w:ascii="Bookman Old Style" w:hAnsi="Bookman Old Style"/>
          <w:b/>
          <w:i/>
          <w:sz w:val="20"/>
          <w:szCs w:val="20"/>
        </w:rPr>
        <w:t xml:space="preserve">ans </w:t>
      </w:r>
      <w:r w:rsidRPr="00607DB6">
        <w:rPr>
          <w:rFonts w:ascii="Bookman Old Style" w:hAnsi="Bookman Old Style"/>
          <w:b/>
          <w:i/>
          <w:sz w:val="20"/>
          <w:szCs w:val="20"/>
        </w:rPr>
        <w:t xml:space="preserve">: </w:t>
      </w:r>
      <w:r w:rsidR="00AB6274" w:rsidRPr="00607DB6">
        <w:rPr>
          <w:rFonts w:ascii="Bookman Old Style" w:hAnsi="Bookman Old Style"/>
          <w:b/>
          <w:i/>
          <w:sz w:val="20"/>
          <w:szCs w:val="20"/>
        </w:rPr>
        <w:t xml:space="preserve">que ce soit pour les régions fusionnées ou pour les </w:t>
      </w:r>
      <w:r w:rsidR="00DC5DAD">
        <w:rPr>
          <w:rFonts w:ascii="Bookman Old Style" w:hAnsi="Bookman Old Style"/>
          <w:b/>
          <w:i/>
          <w:sz w:val="20"/>
          <w:szCs w:val="20"/>
        </w:rPr>
        <w:t xml:space="preserve">autres </w:t>
      </w:r>
      <w:r w:rsidR="00AB6274">
        <w:rPr>
          <w:rFonts w:ascii="Bookman Old Style" w:hAnsi="Bookman Old Style"/>
          <w:b/>
          <w:i/>
          <w:sz w:val="20"/>
          <w:szCs w:val="20"/>
        </w:rPr>
        <w:t>régions,</w:t>
      </w:r>
      <w:r w:rsidR="00AB6274" w:rsidRPr="00607DB6">
        <w:rPr>
          <w:rFonts w:ascii="Bookman Old Style" w:hAnsi="Bookman Old Style"/>
          <w:b/>
          <w:i/>
          <w:sz w:val="20"/>
          <w:szCs w:val="20"/>
        </w:rPr>
        <w:t xml:space="preserve"> </w:t>
      </w:r>
      <w:r w:rsidRPr="00607DB6">
        <w:rPr>
          <w:rFonts w:ascii="Bookman Old Style" w:hAnsi="Bookman Old Style"/>
          <w:b/>
          <w:i/>
          <w:sz w:val="20"/>
          <w:szCs w:val="20"/>
        </w:rPr>
        <w:t>l’encours de la dette a augmenté de presque 15 %</w:t>
      </w:r>
      <w:r w:rsidR="00AB6274" w:rsidRPr="00607DB6">
        <w:rPr>
          <w:rFonts w:ascii="Bookman Old Style" w:hAnsi="Bookman Old Style"/>
          <w:b/>
          <w:i/>
          <w:sz w:val="20"/>
          <w:szCs w:val="20"/>
        </w:rPr>
        <w:t xml:space="preserve"> entre 2015 et 2019</w:t>
      </w:r>
      <w:r w:rsidR="00727135">
        <w:rPr>
          <w:rFonts w:ascii="Bookman Old Style" w:hAnsi="Bookman Old Style"/>
          <w:b/>
          <w:i/>
          <w:sz w:val="20"/>
          <w:szCs w:val="20"/>
        </w:rPr>
        <w:t xml:space="preserve">, et le délai de désendettement se situe </w:t>
      </w:r>
      <w:r w:rsidR="000725F9">
        <w:rPr>
          <w:rFonts w:ascii="Bookman Old Style" w:hAnsi="Bookman Old Style"/>
          <w:b/>
          <w:i/>
          <w:sz w:val="20"/>
          <w:szCs w:val="20"/>
        </w:rPr>
        <w:t>a</w:t>
      </w:r>
      <w:r w:rsidR="000725F9">
        <w:rPr>
          <w:rFonts w:ascii="Bookman Old Style" w:hAnsi="Bookman Old Style"/>
          <w:b/>
          <w:i/>
          <w:sz w:val="20"/>
          <w:szCs w:val="20"/>
        </w:rPr>
        <w:t>u</w:t>
      </w:r>
      <w:r w:rsidR="000725F9">
        <w:rPr>
          <w:rFonts w:ascii="Bookman Old Style" w:hAnsi="Bookman Old Style"/>
          <w:b/>
          <w:i/>
          <w:sz w:val="20"/>
          <w:szCs w:val="20"/>
        </w:rPr>
        <w:t>tour de</w:t>
      </w:r>
      <w:r w:rsidR="00727135">
        <w:rPr>
          <w:rFonts w:ascii="Bookman Old Style" w:hAnsi="Bookman Old Style"/>
          <w:b/>
          <w:i/>
          <w:sz w:val="20"/>
          <w:szCs w:val="20"/>
        </w:rPr>
        <w:t xml:space="preserve"> 4</w:t>
      </w:r>
      <w:r w:rsidR="000725F9">
        <w:rPr>
          <w:rFonts w:ascii="Bookman Old Style" w:hAnsi="Bookman Old Style"/>
          <w:b/>
          <w:i/>
          <w:sz w:val="20"/>
          <w:szCs w:val="20"/>
        </w:rPr>
        <w:t>,2</w:t>
      </w:r>
      <w:r w:rsidR="00727135">
        <w:rPr>
          <w:rFonts w:ascii="Bookman Old Style" w:hAnsi="Bookman Old Style"/>
          <w:b/>
          <w:i/>
          <w:sz w:val="20"/>
          <w:szCs w:val="20"/>
        </w:rPr>
        <w:t xml:space="preserve"> ans pour les deux groupes</w:t>
      </w:r>
      <w:r w:rsidRPr="00607DB6">
        <w:rPr>
          <w:rFonts w:ascii="Bookman Old Style" w:hAnsi="Bookman Old Style"/>
          <w:b/>
          <w:i/>
          <w:sz w:val="20"/>
          <w:szCs w:val="20"/>
        </w:rPr>
        <w:t>.</w:t>
      </w:r>
      <w:r w:rsidR="00AB6274">
        <w:rPr>
          <w:rFonts w:ascii="Bookman Old Style" w:hAnsi="Bookman Old Style"/>
          <w:b/>
          <w:i/>
          <w:sz w:val="20"/>
          <w:szCs w:val="20"/>
        </w:rPr>
        <w:t xml:space="preserve"> </w:t>
      </w:r>
      <w:r w:rsidR="00DC5DAD">
        <w:rPr>
          <w:rFonts w:ascii="Bookman Old Style" w:hAnsi="Bookman Old Style"/>
          <w:b/>
          <w:i/>
          <w:sz w:val="20"/>
          <w:szCs w:val="20"/>
        </w:rPr>
        <w:t>D</w:t>
      </w:r>
      <w:r w:rsidR="00AB6274">
        <w:rPr>
          <w:rFonts w:ascii="Bookman Old Style" w:hAnsi="Bookman Old Style"/>
          <w:b/>
          <w:i/>
          <w:sz w:val="20"/>
          <w:szCs w:val="20"/>
        </w:rPr>
        <w:t>es décisions prises par certaine</w:t>
      </w:r>
      <w:r w:rsidR="00727135">
        <w:rPr>
          <w:rFonts w:ascii="Bookman Old Style" w:hAnsi="Bookman Old Style"/>
          <w:b/>
          <w:i/>
          <w:sz w:val="20"/>
          <w:szCs w:val="20"/>
        </w:rPr>
        <w:t xml:space="preserve">s grandes régions </w:t>
      </w:r>
      <w:r w:rsidR="000725F9">
        <w:rPr>
          <w:rFonts w:ascii="Bookman Old Style" w:hAnsi="Bookman Old Style"/>
          <w:b/>
          <w:i/>
          <w:sz w:val="20"/>
          <w:szCs w:val="20"/>
        </w:rPr>
        <w:t>tracent</w:t>
      </w:r>
      <w:r w:rsidR="00727135">
        <w:rPr>
          <w:rFonts w:ascii="Bookman Old Style" w:hAnsi="Bookman Old Style"/>
          <w:b/>
          <w:i/>
          <w:sz w:val="20"/>
          <w:szCs w:val="20"/>
        </w:rPr>
        <w:t xml:space="preserve"> deux</w:t>
      </w:r>
      <w:r w:rsidR="00AB6274">
        <w:rPr>
          <w:rFonts w:ascii="Bookman Old Style" w:hAnsi="Bookman Old Style"/>
          <w:b/>
          <w:i/>
          <w:sz w:val="20"/>
          <w:szCs w:val="20"/>
        </w:rPr>
        <w:t xml:space="preserve"> trajectoires </w:t>
      </w:r>
      <w:r w:rsidR="00727135">
        <w:rPr>
          <w:rFonts w:ascii="Bookman Old Style" w:hAnsi="Bookman Old Style"/>
          <w:b/>
          <w:i/>
          <w:sz w:val="20"/>
          <w:szCs w:val="20"/>
        </w:rPr>
        <w:t xml:space="preserve">très </w:t>
      </w:r>
      <w:r w:rsidR="00AB6274">
        <w:rPr>
          <w:rFonts w:ascii="Bookman Old Style" w:hAnsi="Bookman Old Style"/>
          <w:b/>
          <w:i/>
          <w:sz w:val="20"/>
          <w:szCs w:val="20"/>
        </w:rPr>
        <w:t xml:space="preserve">différentes, </w:t>
      </w:r>
      <w:r w:rsidR="000725F9">
        <w:rPr>
          <w:rFonts w:ascii="Bookman Old Style" w:hAnsi="Bookman Old Style"/>
          <w:b/>
          <w:i/>
          <w:sz w:val="20"/>
          <w:szCs w:val="20"/>
        </w:rPr>
        <w:t>qui</w:t>
      </w:r>
      <w:r w:rsidR="00AB6274">
        <w:rPr>
          <w:rFonts w:ascii="Bookman Old Style" w:hAnsi="Bookman Old Style"/>
          <w:b/>
          <w:i/>
          <w:sz w:val="20"/>
          <w:szCs w:val="20"/>
        </w:rPr>
        <w:t xml:space="preserve"> abouti</w:t>
      </w:r>
      <w:r w:rsidR="000725F9">
        <w:rPr>
          <w:rFonts w:ascii="Bookman Old Style" w:hAnsi="Bookman Old Style"/>
          <w:b/>
          <w:i/>
          <w:sz w:val="20"/>
          <w:szCs w:val="20"/>
        </w:rPr>
        <w:t>ssent</w:t>
      </w:r>
      <w:r w:rsidR="00AB6274">
        <w:rPr>
          <w:rFonts w:ascii="Bookman Old Style" w:hAnsi="Bookman Old Style"/>
          <w:b/>
          <w:i/>
          <w:sz w:val="20"/>
          <w:szCs w:val="20"/>
        </w:rPr>
        <w:t xml:space="preserve"> à </w:t>
      </w:r>
      <w:r w:rsidR="00727135">
        <w:rPr>
          <w:rFonts w:ascii="Bookman Old Style" w:hAnsi="Bookman Old Style"/>
          <w:b/>
          <w:i/>
          <w:sz w:val="20"/>
          <w:szCs w:val="20"/>
        </w:rPr>
        <w:t>ce</w:t>
      </w:r>
      <w:r w:rsidR="00AB6274">
        <w:rPr>
          <w:rFonts w:ascii="Bookman Old Style" w:hAnsi="Bookman Old Style"/>
          <w:b/>
          <w:i/>
          <w:sz w:val="20"/>
          <w:szCs w:val="20"/>
        </w:rPr>
        <w:t xml:space="preserve"> résultat </w:t>
      </w:r>
      <w:r w:rsidR="00727135">
        <w:rPr>
          <w:rFonts w:ascii="Bookman Old Style" w:hAnsi="Bookman Old Style"/>
          <w:b/>
          <w:i/>
          <w:sz w:val="20"/>
          <w:szCs w:val="20"/>
        </w:rPr>
        <w:t xml:space="preserve">quasi </w:t>
      </w:r>
      <w:r w:rsidR="00AB6274">
        <w:rPr>
          <w:rFonts w:ascii="Bookman Old Style" w:hAnsi="Bookman Old Style"/>
          <w:b/>
          <w:i/>
          <w:sz w:val="20"/>
          <w:szCs w:val="20"/>
        </w:rPr>
        <w:t>identique</w:t>
      </w:r>
      <w:r w:rsidR="000725F9">
        <w:rPr>
          <w:rFonts w:ascii="Bookman Old Style" w:hAnsi="Bookman Old Style"/>
          <w:b/>
          <w:i/>
          <w:sz w:val="20"/>
          <w:szCs w:val="20"/>
        </w:rPr>
        <w:t>.</w:t>
      </w:r>
      <w:r w:rsidR="00AB6274">
        <w:rPr>
          <w:rFonts w:ascii="Bookman Old Style" w:hAnsi="Bookman Old Style"/>
          <w:b/>
          <w:i/>
          <w:sz w:val="20"/>
          <w:szCs w:val="20"/>
        </w:rPr>
        <w:t xml:space="preserve"> </w:t>
      </w:r>
      <w:r w:rsidR="000725F9">
        <w:rPr>
          <w:rFonts w:ascii="Bookman Old Style" w:hAnsi="Bookman Old Style"/>
          <w:b/>
          <w:i/>
          <w:sz w:val="20"/>
          <w:szCs w:val="20"/>
        </w:rPr>
        <w:t xml:space="preserve">Pour le groupe des régions fusionnées : </w:t>
      </w:r>
      <w:r w:rsidR="00727135">
        <w:rPr>
          <w:rFonts w:ascii="Bookman Old Style" w:hAnsi="Bookman Old Style"/>
          <w:b/>
          <w:i/>
          <w:sz w:val="20"/>
          <w:szCs w:val="20"/>
        </w:rPr>
        <w:t xml:space="preserve">réduction </w:t>
      </w:r>
      <w:r w:rsidR="00AB6274">
        <w:rPr>
          <w:rFonts w:ascii="Bookman Old Style" w:hAnsi="Bookman Old Style"/>
          <w:b/>
          <w:i/>
          <w:sz w:val="20"/>
          <w:szCs w:val="20"/>
        </w:rPr>
        <w:t>d</w:t>
      </w:r>
      <w:r w:rsidR="00727135">
        <w:rPr>
          <w:rFonts w:ascii="Bookman Old Style" w:hAnsi="Bookman Old Style"/>
          <w:b/>
          <w:i/>
          <w:sz w:val="20"/>
          <w:szCs w:val="20"/>
        </w:rPr>
        <w:t xml:space="preserve">es </w:t>
      </w:r>
      <w:r w:rsidR="00AB6274">
        <w:rPr>
          <w:rFonts w:ascii="Bookman Old Style" w:hAnsi="Bookman Old Style"/>
          <w:b/>
          <w:i/>
          <w:sz w:val="20"/>
          <w:szCs w:val="20"/>
        </w:rPr>
        <w:t xml:space="preserve">emprunts dès 2017, puis augmentation </w:t>
      </w:r>
      <w:r w:rsidR="00727135">
        <w:rPr>
          <w:rFonts w:ascii="Bookman Old Style" w:hAnsi="Bookman Old Style"/>
          <w:b/>
          <w:i/>
          <w:sz w:val="20"/>
          <w:szCs w:val="20"/>
        </w:rPr>
        <w:t xml:space="preserve">modérée </w:t>
      </w:r>
      <w:r w:rsidR="00AB6274">
        <w:rPr>
          <w:rFonts w:ascii="Bookman Old Style" w:hAnsi="Bookman Old Style"/>
          <w:b/>
          <w:i/>
          <w:sz w:val="20"/>
          <w:szCs w:val="20"/>
        </w:rPr>
        <w:t>de la dette</w:t>
      </w:r>
      <w:r w:rsidR="00727135">
        <w:rPr>
          <w:rFonts w:ascii="Bookman Old Style" w:hAnsi="Bookman Old Style"/>
          <w:b/>
          <w:i/>
          <w:sz w:val="20"/>
          <w:szCs w:val="20"/>
        </w:rPr>
        <w:t> ;</w:t>
      </w:r>
      <w:r w:rsidR="00AB6274">
        <w:rPr>
          <w:rFonts w:ascii="Bookman Old Style" w:hAnsi="Bookman Old Style"/>
          <w:b/>
          <w:i/>
          <w:sz w:val="20"/>
          <w:szCs w:val="20"/>
        </w:rPr>
        <w:t xml:space="preserve"> </w:t>
      </w:r>
      <w:r w:rsidR="000725F9">
        <w:rPr>
          <w:rFonts w:ascii="Bookman Old Style" w:hAnsi="Bookman Old Style"/>
          <w:b/>
          <w:i/>
          <w:sz w:val="20"/>
          <w:szCs w:val="20"/>
        </w:rPr>
        <w:t xml:space="preserve">pour </w:t>
      </w:r>
      <w:r w:rsidR="00AE1298">
        <w:rPr>
          <w:rFonts w:ascii="Bookman Old Style" w:hAnsi="Bookman Old Style"/>
          <w:b/>
          <w:i/>
          <w:sz w:val="20"/>
          <w:szCs w:val="20"/>
        </w:rPr>
        <w:t>celui d</w:t>
      </w:r>
      <w:r w:rsidR="000725F9">
        <w:rPr>
          <w:rFonts w:ascii="Bookman Old Style" w:hAnsi="Bookman Old Style"/>
          <w:b/>
          <w:i/>
          <w:sz w:val="20"/>
          <w:szCs w:val="20"/>
        </w:rPr>
        <w:t xml:space="preserve">es </w:t>
      </w:r>
      <w:r w:rsidR="00DC5DAD">
        <w:rPr>
          <w:rFonts w:ascii="Bookman Old Style" w:hAnsi="Bookman Old Style"/>
          <w:b/>
          <w:i/>
          <w:sz w:val="20"/>
          <w:szCs w:val="20"/>
        </w:rPr>
        <w:t xml:space="preserve">autres </w:t>
      </w:r>
      <w:r w:rsidR="000725F9">
        <w:rPr>
          <w:rFonts w:ascii="Bookman Old Style" w:hAnsi="Bookman Old Style"/>
          <w:b/>
          <w:i/>
          <w:sz w:val="20"/>
          <w:szCs w:val="20"/>
        </w:rPr>
        <w:t xml:space="preserve">régions : </w:t>
      </w:r>
      <w:r w:rsidR="00DC5DAD">
        <w:rPr>
          <w:rFonts w:ascii="Bookman Old Style" w:hAnsi="Bookman Old Style"/>
          <w:b/>
          <w:i/>
          <w:sz w:val="20"/>
          <w:szCs w:val="20"/>
        </w:rPr>
        <w:t xml:space="preserve">nette </w:t>
      </w:r>
      <w:r w:rsidR="00AB6274">
        <w:rPr>
          <w:rFonts w:ascii="Bookman Old Style" w:hAnsi="Bookman Old Style"/>
          <w:b/>
          <w:i/>
          <w:sz w:val="20"/>
          <w:szCs w:val="20"/>
        </w:rPr>
        <w:t xml:space="preserve">augmentation de l’endettement de 2015 à 2018, puis baisse brutale en 2019, du fait d’emprunts très réduits et de remboursements </w:t>
      </w:r>
      <w:r w:rsidR="000725F9">
        <w:rPr>
          <w:rFonts w:ascii="Bookman Old Style" w:hAnsi="Bookman Old Style"/>
          <w:b/>
          <w:i/>
          <w:sz w:val="20"/>
          <w:szCs w:val="20"/>
        </w:rPr>
        <w:t xml:space="preserve">de dette </w:t>
      </w:r>
      <w:r w:rsidR="00AB6274">
        <w:rPr>
          <w:rFonts w:ascii="Bookman Old Style" w:hAnsi="Bookman Old Style"/>
          <w:b/>
          <w:i/>
          <w:sz w:val="20"/>
          <w:szCs w:val="20"/>
        </w:rPr>
        <w:t>accrus cette année-là.</w:t>
      </w:r>
      <w:r w:rsidR="000D39D5">
        <w:rPr>
          <w:rFonts w:ascii="Bookman Old Style" w:hAnsi="Bookman Old Style"/>
          <w:b/>
          <w:i/>
          <w:sz w:val="20"/>
          <w:szCs w:val="20"/>
        </w:rPr>
        <w:t xml:space="preserve"> </w:t>
      </w:r>
    </w:p>
    <w:p w:rsidR="00AE1298" w:rsidRDefault="00AE1298" w:rsidP="00607DB6">
      <w:pPr>
        <w:spacing w:after="0" w:line="240" w:lineRule="auto"/>
        <w:jc w:val="both"/>
        <w:rPr>
          <w:rFonts w:ascii="Bookman Old Style" w:hAnsi="Bookman Old Style"/>
          <w:b/>
          <w:i/>
          <w:sz w:val="20"/>
          <w:szCs w:val="20"/>
        </w:rPr>
      </w:pPr>
    </w:p>
    <w:p w:rsidR="00AB6274" w:rsidRDefault="00AB6274" w:rsidP="00FA3A07">
      <w:pPr>
        <w:spacing w:after="0"/>
        <w:rPr>
          <w:rFonts w:ascii="Bookman Old Style" w:hAnsi="Bookman Old Style"/>
          <w:b/>
          <w:i/>
          <w:sz w:val="20"/>
          <w:szCs w:val="20"/>
        </w:rPr>
      </w:pPr>
    </w:p>
    <w:p w:rsidR="00AB6274" w:rsidRDefault="00AB6274" w:rsidP="00FA3A07">
      <w:pPr>
        <w:spacing w:after="0"/>
        <w:rPr>
          <w:rFonts w:ascii="Bookman Old Style" w:hAnsi="Bookman Old Style"/>
          <w:b/>
          <w:i/>
          <w:sz w:val="20"/>
          <w:szCs w:val="20"/>
        </w:rPr>
        <w:sectPr w:rsidR="00AB6274" w:rsidSect="00FA3A07">
          <w:footerReference w:type="default" r:id="rId8"/>
          <w:pgSz w:w="11906" w:h="16838"/>
          <w:pgMar w:top="567" w:right="737" w:bottom="851" w:left="737" w:header="709" w:footer="340" w:gutter="0"/>
          <w:cols w:space="708"/>
          <w:docGrid w:linePitch="360"/>
        </w:sectPr>
      </w:pPr>
    </w:p>
    <w:p w:rsidR="007E6EA7" w:rsidRPr="00AB6274" w:rsidRDefault="005C2285" w:rsidP="00285498">
      <w:pPr>
        <w:spacing w:after="240"/>
        <w:jc w:val="both"/>
        <w:rPr>
          <w:rFonts w:ascii="Bookman Old Style" w:hAnsi="Bookman Old Style" w:cs="Times New Roman"/>
          <w:sz w:val="20"/>
          <w:szCs w:val="20"/>
        </w:rPr>
      </w:pPr>
      <w:r w:rsidRPr="00AB6274">
        <w:rPr>
          <w:rFonts w:ascii="Bookman Old Style" w:eastAsia="Times New Roman" w:hAnsi="Bookman Old Style" w:cs="Times New Roman"/>
          <w:sz w:val="20"/>
          <w:szCs w:val="20"/>
          <w:lang w:eastAsia="fr-FR"/>
        </w:rPr>
        <w:lastRenderedPageBreak/>
        <w:t xml:space="preserve">Dans le cadre de la réforme territoriale de la loi du 16 janvier 2015, le nombre de </w:t>
      </w:r>
      <w:r w:rsidR="000725F9">
        <w:rPr>
          <w:rFonts w:ascii="Bookman Old Style" w:eastAsia="Times New Roman" w:hAnsi="Bookman Old Style" w:cs="Times New Roman"/>
          <w:sz w:val="20"/>
          <w:szCs w:val="20"/>
          <w:lang w:eastAsia="fr-FR"/>
        </w:rPr>
        <w:t>« </w:t>
      </w:r>
      <w:r w:rsidRPr="00AB6274">
        <w:rPr>
          <w:rFonts w:ascii="Bookman Old Style" w:eastAsia="Times New Roman" w:hAnsi="Bookman Old Style" w:cs="Times New Roman"/>
          <w:sz w:val="20"/>
          <w:szCs w:val="20"/>
          <w:lang w:eastAsia="fr-FR"/>
        </w:rPr>
        <w:t>territoires régionaux</w:t>
      </w:r>
      <w:r w:rsidR="000725F9">
        <w:rPr>
          <w:rFonts w:ascii="Bookman Old Style" w:eastAsia="Times New Roman" w:hAnsi="Bookman Old Style" w:cs="Times New Roman"/>
          <w:sz w:val="20"/>
          <w:szCs w:val="20"/>
          <w:lang w:eastAsia="fr-FR"/>
        </w:rPr>
        <w:t> »</w:t>
      </w:r>
      <w:r w:rsidRPr="00AB6274">
        <w:rPr>
          <w:rFonts w:ascii="Bookman Old Style" w:eastAsia="Times New Roman" w:hAnsi="Bookman Old Style" w:cs="Times New Roman"/>
          <w:sz w:val="20"/>
          <w:szCs w:val="20"/>
          <w:lang w:eastAsia="fr-FR"/>
        </w:rPr>
        <w:t xml:space="preserve"> est passé de 27 en 2015 à 18 en 2016 (en incluant Mayotte, les quatre DOM et la Corse dans le décompte). </w:t>
      </w:r>
      <w:r w:rsidR="00670429" w:rsidRPr="00670429">
        <w:rPr>
          <w:rFonts w:ascii="Bookman Old Style" w:eastAsia="Times New Roman" w:hAnsi="Bookman Old Style" w:cs="Times New Roman"/>
          <w:sz w:val="20"/>
          <w:szCs w:val="20"/>
          <w:lang w:eastAsia="fr-FR"/>
        </w:rPr>
        <w:t>Six régions de France métropolitaine ont gardé leur contour d’origine  et les autres ont fusionné pour donner naissance à sept nouvelles régions</w:t>
      </w:r>
      <w:r w:rsidR="00285498">
        <w:rPr>
          <w:rFonts w:ascii="Bookman Old Style" w:hAnsi="Bookman Old Style" w:cs="Times New Roman"/>
          <w:sz w:val="20"/>
          <w:szCs w:val="20"/>
        </w:rPr>
        <w:t xml:space="preserve"> </w:t>
      </w:r>
      <w:r w:rsidR="00285498" w:rsidRPr="00670429">
        <w:rPr>
          <w:rFonts w:ascii="Bookman Old Style" w:eastAsia="Times New Roman" w:hAnsi="Bookman Old Style" w:cs="Times New Roman"/>
          <w:i/>
          <w:sz w:val="20"/>
          <w:szCs w:val="20"/>
          <w:lang w:eastAsia="fr-FR"/>
        </w:rPr>
        <w:t>(encadré 1)</w:t>
      </w:r>
      <w:r w:rsidR="00670429" w:rsidRPr="00670429">
        <w:rPr>
          <w:rFonts w:ascii="Bookman Old Style" w:eastAsia="Times New Roman" w:hAnsi="Bookman Old Style" w:cs="Times New Roman"/>
          <w:i/>
          <w:sz w:val="20"/>
          <w:szCs w:val="20"/>
          <w:lang w:eastAsia="fr-FR"/>
        </w:rPr>
        <w:t xml:space="preserve">. </w:t>
      </w:r>
      <w:r w:rsidR="00670429" w:rsidRPr="00AB6274">
        <w:rPr>
          <w:rFonts w:ascii="Bookman Old Style" w:hAnsi="Bookman Old Style" w:cs="Times New Roman"/>
          <w:sz w:val="20"/>
          <w:szCs w:val="20"/>
        </w:rPr>
        <w:t xml:space="preserve">On peut dès lors </w:t>
      </w:r>
      <w:r w:rsidR="006C777E">
        <w:rPr>
          <w:rFonts w:ascii="Bookman Old Style" w:hAnsi="Bookman Old Style" w:cs="Times New Roman"/>
          <w:sz w:val="20"/>
          <w:szCs w:val="20"/>
        </w:rPr>
        <w:t>examiner</w:t>
      </w:r>
      <w:r w:rsidR="00670429" w:rsidRPr="00AB6274">
        <w:rPr>
          <w:rFonts w:ascii="Bookman Old Style" w:hAnsi="Bookman Old Style" w:cs="Times New Roman"/>
          <w:sz w:val="20"/>
          <w:szCs w:val="20"/>
        </w:rPr>
        <w:t xml:space="preserve"> l’effet de ces regroupements sur l</w:t>
      </w:r>
      <w:r w:rsidR="00FA3A07">
        <w:rPr>
          <w:rFonts w:ascii="Bookman Old Style" w:hAnsi="Bookman Old Style" w:cs="Times New Roman"/>
          <w:sz w:val="20"/>
          <w:szCs w:val="20"/>
        </w:rPr>
        <w:t>’évolution</w:t>
      </w:r>
      <w:r w:rsidR="00670429" w:rsidRPr="00AB6274">
        <w:rPr>
          <w:rFonts w:ascii="Bookman Old Style" w:hAnsi="Bookman Old Style" w:cs="Times New Roman"/>
          <w:sz w:val="20"/>
          <w:szCs w:val="20"/>
        </w:rPr>
        <w:t xml:space="preserve"> des </w:t>
      </w:r>
      <w:r w:rsidR="00FA3A07">
        <w:rPr>
          <w:rFonts w:ascii="Bookman Old Style" w:hAnsi="Bookman Old Style" w:cs="Times New Roman"/>
          <w:sz w:val="20"/>
          <w:szCs w:val="20"/>
        </w:rPr>
        <w:t xml:space="preserve">dépenses des </w:t>
      </w:r>
      <w:r w:rsidR="00670429" w:rsidRPr="00AB6274">
        <w:rPr>
          <w:rFonts w:ascii="Bookman Old Style" w:hAnsi="Bookman Old Style" w:cs="Times New Roman"/>
          <w:sz w:val="20"/>
          <w:szCs w:val="20"/>
        </w:rPr>
        <w:t>régions, en tenant compte des changements de contours instit</w:t>
      </w:r>
      <w:r w:rsidR="00670429" w:rsidRPr="00AB6274">
        <w:rPr>
          <w:rFonts w:ascii="Bookman Old Style" w:hAnsi="Bookman Old Style" w:cs="Times New Roman"/>
          <w:sz w:val="20"/>
          <w:szCs w:val="20"/>
        </w:rPr>
        <w:t>u</w:t>
      </w:r>
      <w:r w:rsidR="00670429" w:rsidRPr="00AB6274">
        <w:rPr>
          <w:rFonts w:ascii="Bookman Old Style" w:hAnsi="Bookman Old Style" w:cs="Times New Roman"/>
          <w:sz w:val="20"/>
          <w:szCs w:val="20"/>
        </w:rPr>
        <w:t>tionnels et des modifications de compétences survenues depuis 2015.</w:t>
      </w:r>
    </w:p>
    <w:p w:rsidR="00073A03" w:rsidRPr="00AB6274" w:rsidRDefault="00156C42" w:rsidP="00AE1298">
      <w:pPr>
        <w:jc w:val="both"/>
        <w:rPr>
          <w:rFonts w:ascii="Bookman Old Style" w:hAnsi="Bookman Old Style" w:cs="Times New Roman"/>
          <w:b/>
          <w:sz w:val="20"/>
          <w:szCs w:val="20"/>
        </w:rPr>
      </w:pPr>
      <w:r w:rsidRPr="00AB6274">
        <w:rPr>
          <w:rFonts w:ascii="Bookman Old Style" w:hAnsi="Bookman Old Style" w:cs="Times New Roman"/>
          <w:b/>
          <w:sz w:val="20"/>
          <w:szCs w:val="20"/>
        </w:rPr>
        <w:lastRenderedPageBreak/>
        <w:t>Régions fusionnées ou inchangées : é</w:t>
      </w:r>
      <w:r w:rsidR="00073A03" w:rsidRPr="00AB6274">
        <w:rPr>
          <w:rFonts w:ascii="Bookman Old Style" w:hAnsi="Bookman Old Style" w:cs="Times New Roman"/>
          <w:b/>
          <w:sz w:val="20"/>
          <w:szCs w:val="20"/>
        </w:rPr>
        <w:t>volution</w:t>
      </w:r>
      <w:r w:rsidRPr="00AB6274">
        <w:rPr>
          <w:rFonts w:ascii="Bookman Old Style" w:hAnsi="Bookman Old Style" w:cs="Times New Roman"/>
          <w:b/>
          <w:sz w:val="20"/>
          <w:szCs w:val="20"/>
        </w:rPr>
        <w:t>s</w:t>
      </w:r>
      <w:r w:rsidR="00073A03" w:rsidRPr="00AB6274">
        <w:rPr>
          <w:rFonts w:ascii="Bookman Old Style" w:hAnsi="Bookman Old Style" w:cs="Times New Roman"/>
          <w:b/>
          <w:sz w:val="20"/>
          <w:szCs w:val="20"/>
        </w:rPr>
        <w:t xml:space="preserve"> identique</w:t>
      </w:r>
      <w:r w:rsidRPr="00AB6274">
        <w:rPr>
          <w:rFonts w:ascii="Bookman Old Style" w:hAnsi="Bookman Old Style" w:cs="Times New Roman"/>
          <w:b/>
          <w:sz w:val="20"/>
          <w:szCs w:val="20"/>
        </w:rPr>
        <w:t>s</w:t>
      </w:r>
      <w:r w:rsidR="00073A03" w:rsidRPr="00AB6274">
        <w:rPr>
          <w:rFonts w:ascii="Bookman Old Style" w:hAnsi="Bookman Old Style" w:cs="Times New Roman"/>
          <w:b/>
          <w:sz w:val="20"/>
          <w:szCs w:val="20"/>
        </w:rPr>
        <w:t xml:space="preserve"> des dépenses </w:t>
      </w:r>
      <w:r w:rsidR="00AE1298">
        <w:rPr>
          <w:rFonts w:ascii="Bookman Old Style" w:hAnsi="Bookman Old Style" w:cs="Times New Roman"/>
          <w:b/>
          <w:sz w:val="20"/>
          <w:szCs w:val="20"/>
        </w:rPr>
        <w:t xml:space="preserve">globales </w:t>
      </w:r>
      <w:r w:rsidR="00073A03" w:rsidRPr="00AB6274">
        <w:rPr>
          <w:rFonts w:ascii="Bookman Old Style" w:hAnsi="Bookman Old Style" w:cs="Times New Roman"/>
          <w:b/>
          <w:sz w:val="20"/>
          <w:szCs w:val="20"/>
        </w:rPr>
        <w:t>de fonctio</w:t>
      </w:r>
      <w:r w:rsidR="00073A03" w:rsidRPr="00AB6274">
        <w:rPr>
          <w:rFonts w:ascii="Bookman Old Style" w:hAnsi="Bookman Old Style" w:cs="Times New Roman"/>
          <w:b/>
          <w:sz w:val="20"/>
          <w:szCs w:val="20"/>
        </w:rPr>
        <w:t>n</w:t>
      </w:r>
      <w:r w:rsidR="00073A03" w:rsidRPr="00AB6274">
        <w:rPr>
          <w:rFonts w:ascii="Bookman Old Style" w:hAnsi="Bookman Old Style" w:cs="Times New Roman"/>
          <w:b/>
          <w:sz w:val="20"/>
          <w:szCs w:val="20"/>
        </w:rPr>
        <w:t>nement</w:t>
      </w:r>
      <w:r w:rsidR="00AE1298">
        <w:rPr>
          <w:rFonts w:ascii="Bookman Old Style" w:hAnsi="Bookman Old Style" w:cs="Times New Roman"/>
          <w:b/>
          <w:sz w:val="20"/>
          <w:szCs w:val="20"/>
        </w:rPr>
        <w:t>, mais différentes</w:t>
      </w:r>
      <w:r w:rsidR="00073A03" w:rsidRPr="00AB6274">
        <w:rPr>
          <w:rFonts w:ascii="Bookman Old Style" w:hAnsi="Bookman Old Style" w:cs="Times New Roman"/>
          <w:b/>
          <w:sz w:val="20"/>
          <w:szCs w:val="20"/>
        </w:rPr>
        <w:t xml:space="preserve"> </w:t>
      </w:r>
      <w:r w:rsidR="00AE1298">
        <w:rPr>
          <w:rFonts w:ascii="Bookman Old Style" w:hAnsi="Bookman Old Style" w:cs="Times New Roman"/>
          <w:b/>
          <w:sz w:val="20"/>
          <w:szCs w:val="20"/>
        </w:rPr>
        <w:t>selon les types de dépenses</w:t>
      </w:r>
    </w:p>
    <w:p w:rsidR="00073A03" w:rsidRPr="00AB6274" w:rsidRDefault="00073A03" w:rsidP="0019237B">
      <w:pPr>
        <w:jc w:val="both"/>
        <w:rPr>
          <w:rFonts w:ascii="Bookman Old Style" w:hAnsi="Bookman Old Style" w:cs="Times New Roman"/>
          <w:sz w:val="20"/>
          <w:szCs w:val="20"/>
        </w:rPr>
      </w:pPr>
      <w:r w:rsidRPr="00AB6274">
        <w:rPr>
          <w:rFonts w:ascii="Bookman Old Style" w:hAnsi="Bookman Old Style" w:cs="Times New Roman"/>
          <w:sz w:val="20"/>
          <w:szCs w:val="20"/>
        </w:rPr>
        <w:t>Hors transports transférés et gestion des fonds européens, les deux groupes de régions ont maintenu leurs dépenses de fonctionnement en 2019 au même niveau que celui de 2015</w:t>
      </w:r>
      <w:r w:rsidR="00FA3A07">
        <w:rPr>
          <w:rFonts w:ascii="Bookman Old Style" w:hAnsi="Bookman Old Style" w:cs="Times New Roman"/>
          <w:sz w:val="20"/>
          <w:szCs w:val="20"/>
        </w:rPr>
        <w:t xml:space="preserve"> </w:t>
      </w:r>
      <w:r w:rsidR="00FA3A07" w:rsidRPr="00FA3A07">
        <w:rPr>
          <w:rFonts w:ascii="Bookman Old Style" w:hAnsi="Bookman Old Style" w:cs="Times New Roman"/>
          <w:i/>
          <w:sz w:val="20"/>
          <w:szCs w:val="20"/>
        </w:rPr>
        <w:t>(gr</w:t>
      </w:r>
      <w:r w:rsidR="00FA3A07" w:rsidRPr="00FA3A07">
        <w:rPr>
          <w:rFonts w:ascii="Bookman Old Style" w:hAnsi="Bookman Old Style" w:cs="Times New Roman"/>
          <w:i/>
          <w:sz w:val="20"/>
          <w:szCs w:val="20"/>
        </w:rPr>
        <w:t>a</w:t>
      </w:r>
      <w:r w:rsidR="00FA3A07" w:rsidRPr="00FA3A07">
        <w:rPr>
          <w:rFonts w:ascii="Bookman Old Style" w:hAnsi="Bookman Old Style" w:cs="Times New Roman"/>
          <w:i/>
          <w:sz w:val="20"/>
          <w:szCs w:val="20"/>
        </w:rPr>
        <w:t>phique 1)</w:t>
      </w:r>
      <w:r w:rsidRPr="00AB6274">
        <w:rPr>
          <w:rFonts w:ascii="Bookman Old Style" w:hAnsi="Bookman Old Style" w:cs="Times New Roman"/>
          <w:sz w:val="20"/>
          <w:szCs w:val="20"/>
        </w:rPr>
        <w:t xml:space="preserve">. </w:t>
      </w:r>
    </w:p>
    <w:p w:rsidR="00AB6274" w:rsidRDefault="00AB6274" w:rsidP="0019237B">
      <w:pPr>
        <w:spacing w:after="0" w:line="240" w:lineRule="auto"/>
        <w:jc w:val="center"/>
        <w:rPr>
          <w:rFonts w:ascii="Bookman Old Style" w:eastAsia="Times New Roman" w:hAnsi="Bookman Old Style" w:cs="Times New Roman"/>
          <w:sz w:val="24"/>
          <w:szCs w:val="20"/>
          <w:lang w:eastAsia="fr-FR"/>
        </w:rPr>
        <w:sectPr w:rsidR="00AB6274" w:rsidSect="00AB6274">
          <w:type w:val="continuous"/>
          <w:pgSz w:w="11906" w:h="16838"/>
          <w:pgMar w:top="567" w:right="737" w:bottom="851" w:left="737" w:header="709" w:footer="454" w:gutter="0"/>
          <w:cols w:num="2" w:space="708"/>
          <w:docGrid w:linePitch="360"/>
        </w:sectPr>
      </w:pPr>
    </w:p>
    <w:p w:rsidR="00FA3A07" w:rsidRDefault="00FA3A07" w:rsidP="0019237B">
      <w:pPr>
        <w:spacing w:after="0" w:line="240" w:lineRule="auto"/>
        <w:jc w:val="center"/>
        <w:rPr>
          <w:rFonts w:ascii="Bookman Old Style" w:eastAsia="Times New Roman" w:hAnsi="Bookman Old Style" w:cs="Times New Roman"/>
          <w:sz w:val="20"/>
          <w:szCs w:val="20"/>
          <w:lang w:eastAsia="fr-FR"/>
        </w:rPr>
      </w:pPr>
    </w:p>
    <w:p w:rsidR="00073A03" w:rsidRPr="00FA3A07" w:rsidRDefault="00073A03" w:rsidP="00FA3A07">
      <w:pPr>
        <w:spacing w:after="120" w:line="240" w:lineRule="auto"/>
        <w:jc w:val="center"/>
        <w:rPr>
          <w:rFonts w:ascii="Bookman Old Style" w:eastAsia="Times New Roman" w:hAnsi="Bookman Old Style" w:cs="Times New Roman"/>
          <w:sz w:val="20"/>
          <w:szCs w:val="20"/>
          <w:lang w:eastAsia="fr-FR"/>
        </w:rPr>
      </w:pPr>
      <w:r w:rsidRPr="00FA3A07">
        <w:rPr>
          <w:rFonts w:ascii="Bookman Old Style" w:eastAsia="Times New Roman" w:hAnsi="Bookman Old Style" w:cs="Times New Roman"/>
          <w:sz w:val="20"/>
          <w:szCs w:val="20"/>
          <w:lang w:eastAsia="fr-FR"/>
        </w:rPr>
        <w:t>Graphique 1 - Évolution des dépenses de fonctionnement, selon les groupes de régions</w:t>
      </w:r>
    </w:p>
    <w:p w:rsidR="00073A03" w:rsidRPr="00FA3A07" w:rsidRDefault="00073A03" w:rsidP="0019237B">
      <w:pPr>
        <w:spacing w:after="0" w:line="240" w:lineRule="auto"/>
        <w:jc w:val="center"/>
        <w:rPr>
          <w:rFonts w:ascii="Bookman Old Style" w:eastAsia="Times New Roman" w:hAnsi="Bookman Old Style" w:cs="Times New Roman"/>
          <w:sz w:val="20"/>
          <w:szCs w:val="20"/>
          <w:lang w:eastAsia="fr-FR"/>
        </w:rPr>
        <w:sectPr w:rsidR="00073A03" w:rsidRPr="00FA3A07" w:rsidSect="00AB6274">
          <w:type w:val="continuous"/>
          <w:pgSz w:w="11906" w:h="16838"/>
          <w:pgMar w:top="992" w:right="992" w:bottom="992" w:left="992" w:header="709" w:footer="454" w:gutter="0"/>
          <w:cols w:space="708"/>
          <w:docGrid w:linePitch="360"/>
        </w:sectPr>
      </w:pPr>
    </w:p>
    <w:p w:rsidR="0019237B" w:rsidRPr="00FA3A07" w:rsidRDefault="00073A03" w:rsidP="0019237B">
      <w:pPr>
        <w:spacing w:after="0" w:line="240" w:lineRule="auto"/>
        <w:jc w:val="center"/>
        <w:rPr>
          <w:rFonts w:ascii="Bookman Old Style" w:eastAsia="Times New Roman" w:hAnsi="Bookman Old Style" w:cs="Times New Roman"/>
          <w:i/>
          <w:sz w:val="20"/>
          <w:szCs w:val="20"/>
          <w:lang w:eastAsia="fr-FR"/>
        </w:rPr>
      </w:pPr>
      <w:r w:rsidRPr="00FA3A07">
        <w:rPr>
          <w:rFonts w:ascii="Bookman Old Style" w:eastAsia="Times New Roman" w:hAnsi="Bookman Old Style" w:cs="Times New Roman"/>
          <w:i/>
          <w:sz w:val="20"/>
          <w:szCs w:val="20"/>
          <w:lang w:eastAsia="fr-FR"/>
        </w:rPr>
        <w:lastRenderedPageBreak/>
        <w:t xml:space="preserve">Hors transports transférés et </w:t>
      </w:r>
    </w:p>
    <w:p w:rsidR="00073A03" w:rsidRPr="00FA3A07" w:rsidRDefault="00073A03" w:rsidP="0019237B">
      <w:pPr>
        <w:spacing w:after="0" w:line="240" w:lineRule="auto"/>
        <w:jc w:val="center"/>
        <w:rPr>
          <w:rFonts w:ascii="Bookman Old Style" w:eastAsia="Times New Roman" w:hAnsi="Bookman Old Style" w:cs="Times New Roman"/>
          <w:sz w:val="20"/>
          <w:szCs w:val="20"/>
          <w:lang w:eastAsia="fr-FR"/>
        </w:rPr>
      </w:pPr>
      <w:proofErr w:type="gramStart"/>
      <w:r w:rsidRPr="00FA3A07">
        <w:rPr>
          <w:rFonts w:ascii="Bookman Old Style" w:eastAsia="Times New Roman" w:hAnsi="Bookman Old Style" w:cs="Times New Roman"/>
          <w:i/>
          <w:sz w:val="20"/>
          <w:szCs w:val="20"/>
          <w:lang w:eastAsia="fr-FR"/>
        </w:rPr>
        <w:t>gestion</w:t>
      </w:r>
      <w:proofErr w:type="gramEnd"/>
      <w:r w:rsidRPr="00FA3A07">
        <w:rPr>
          <w:rFonts w:ascii="Bookman Old Style" w:eastAsia="Times New Roman" w:hAnsi="Bookman Old Style" w:cs="Times New Roman"/>
          <w:i/>
          <w:sz w:val="20"/>
          <w:szCs w:val="20"/>
          <w:lang w:eastAsia="fr-FR"/>
        </w:rPr>
        <w:t xml:space="preserve"> des fonds européens</w:t>
      </w:r>
    </w:p>
    <w:p w:rsidR="0019237B" w:rsidRDefault="0019237B" w:rsidP="0019237B">
      <w:pPr>
        <w:spacing w:after="0" w:line="240" w:lineRule="auto"/>
        <w:jc w:val="center"/>
        <w:rPr>
          <w:rFonts w:ascii="Bookman Old Style" w:eastAsia="Times New Roman" w:hAnsi="Bookman Old Style" w:cs="Times New Roman"/>
          <w:sz w:val="20"/>
          <w:szCs w:val="20"/>
          <w:lang w:eastAsia="fr-FR"/>
        </w:rPr>
      </w:pPr>
      <w:r w:rsidRPr="00FA3A07">
        <w:rPr>
          <w:rFonts w:ascii="Bookman Old Style" w:hAnsi="Bookman Old Style"/>
          <w:noProof/>
          <w:sz w:val="20"/>
          <w:szCs w:val="20"/>
          <w:lang w:eastAsia="fr-FR"/>
        </w:rPr>
        <w:drawing>
          <wp:inline distT="0" distB="0" distL="0" distR="0">
            <wp:extent cx="2754630" cy="2030104"/>
            <wp:effectExtent l="19050" t="0" r="762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756784" cy="2031692"/>
                    </a:xfrm>
                    <a:prstGeom prst="rect">
                      <a:avLst/>
                    </a:prstGeom>
                    <a:noFill/>
                    <a:ln w="9525">
                      <a:noFill/>
                      <a:miter lim="800000"/>
                      <a:headEnd/>
                      <a:tailEnd/>
                    </a:ln>
                  </pic:spPr>
                </pic:pic>
              </a:graphicData>
            </a:graphic>
          </wp:inline>
        </w:drawing>
      </w:r>
    </w:p>
    <w:p w:rsidR="00073A03" w:rsidRDefault="00FA3A07" w:rsidP="0019237B">
      <w:pPr>
        <w:spacing w:after="0" w:line="240" w:lineRule="auto"/>
        <w:jc w:val="center"/>
        <w:rPr>
          <w:rFonts w:ascii="Bookman Old Style" w:eastAsia="Times New Roman" w:hAnsi="Bookman Old Style" w:cs="Times New Roman"/>
          <w:i/>
          <w:sz w:val="20"/>
          <w:szCs w:val="20"/>
          <w:lang w:eastAsia="fr-FR"/>
        </w:rPr>
      </w:pPr>
      <w:r>
        <w:rPr>
          <w:rFonts w:ascii="Bookman Old Style" w:eastAsia="Times New Roman" w:hAnsi="Bookman Old Style" w:cs="Times New Roman"/>
          <w:i/>
          <w:sz w:val="20"/>
          <w:szCs w:val="20"/>
          <w:lang w:eastAsia="fr-FR"/>
        </w:rPr>
        <w:br w:type="column"/>
      </w:r>
      <w:r w:rsidR="0019237B" w:rsidRPr="00FA3A07">
        <w:rPr>
          <w:rFonts w:ascii="Bookman Old Style" w:eastAsia="Times New Roman" w:hAnsi="Bookman Old Style" w:cs="Times New Roman"/>
          <w:i/>
          <w:sz w:val="20"/>
          <w:szCs w:val="20"/>
          <w:lang w:eastAsia="fr-FR"/>
        </w:rPr>
        <w:lastRenderedPageBreak/>
        <w:t>Toutes fonctions</w:t>
      </w:r>
    </w:p>
    <w:p w:rsidR="00CB54D5" w:rsidRPr="00FA3A07" w:rsidRDefault="00CB54D5" w:rsidP="0019237B">
      <w:pPr>
        <w:spacing w:after="0" w:line="240" w:lineRule="auto"/>
        <w:jc w:val="center"/>
        <w:rPr>
          <w:rFonts w:ascii="Bookman Old Style" w:eastAsia="Times New Roman" w:hAnsi="Bookman Old Style" w:cs="Times New Roman"/>
          <w:i/>
          <w:sz w:val="20"/>
          <w:szCs w:val="20"/>
          <w:lang w:eastAsia="fr-FR"/>
        </w:rPr>
      </w:pPr>
    </w:p>
    <w:p w:rsidR="00FA3A07" w:rsidRPr="00607DB6" w:rsidRDefault="00D97699" w:rsidP="0019237B">
      <w:pPr>
        <w:spacing w:after="0" w:line="240" w:lineRule="auto"/>
        <w:jc w:val="both"/>
        <w:rPr>
          <w:rFonts w:ascii="Bookman Old Style" w:eastAsia="Times New Roman" w:hAnsi="Bookman Old Style" w:cs="Times New Roman"/>
          <w:sz w:val="24"/>
          <w:szCs w:val="20"/>
          <w:lang w:eastAsia="fr-FR"/>
        </w:rPr>
      </w:pPr>
      <w:r w:rsidRPr="00607DB6">
        <w:rPr>
          <w:rFonts w:ascii="Bookman Old Style" w:hAnsi="Bookman Old Style"/>
          <w:noProof/>
          <w:szCs w:val="20"/>
          <w:lang w:eastAsia="fr-FR"/>
        </w:rPr>
        <w:drawing>
          <wp:inline distT="0" distB="0" distL="0" distR="0">
            <wp:extent cx="2748830" cy="2029968"/>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50496" cy="2031198"/>
                    </a:xfrm>
                    <a:prstGeom prst="rect">
                      <a:avLst/>
                    </a:prstGeom>
                    <a:noFill/>
                    <a:ln w="9525">
                      <a:noFill/>
                      <a:miter lim="800000"/>
                      <a:headEnd/>
                      <a:tailEnd/>
                    </a:ln>
                  </pic:spPr>
                </pic:pic>
              </a:graphicData>
            </a:graphic>
          </wp:inline>
        </w:drawing>
      </w:r>
    </w:p>
    <w:p w:rsidR="00073A03" w:rsidRPr="00607DB6" w:rsidRDefault="00073A03" w:rsidP="0019237B">
      <w:pPr>
        <w:spacing w:after="0" w:line="240" w:lineRule="auto"/>
        <w:jc w:val="both"/>
        <w:rPr>
          <w:rFonts w:ascii="Bookman Old Style" w:hAnsi="Bookman Old Style" w:cs="Times New Roman"/>
          <w:sz w:val="24"/>
        </w:rPr>
        <w:sectPr w:rsidR="00073A03" w:rsidRPr="00607DB6" w:rsidSect="00073A03">
          <w:type w:val="continuous"/>
          <w:pgSz w:w="11906" w:h="16838"/>
          <w:pgMar w:top="992" w:right="992" w:bottom="992" w:left="992" w:header="709" w:footer="709" w:gutter="0"/>
          <w:cols w:num="2" w:space="708"/>
          <w:docGrid w:linePitch="360"/>
        </w:sectPr>
      </w:pPr>
    </w:p>
    <w:p w:rsidR="00FA3A07" w:rsidRDefault="0019237B" w:rsidP="0019237B">
      <w:pPr>
        <w:spacing w:after="0" w:line="240" w:lineRule="auto"/>
        <w:jc w:val="both"/>
        <w:rPr>
          <w:rFonts w:ascii="Bookman Old Style" w:hAnsi="Bookman Old Style" w:cs="Times New Roman"/>
          <w:i/>
          <w:sz w:val="18"/>
        </w:rPr>
      </w:pPr>
      <w:r w:rsidRPr="00FA3A07">
        <w:rPr>
          <w:rFonts w:ascii="Bookman Old Style" w:hAnsi="Bookman Old Style" w:cs="Times New Roman"/>
          <w:i/>
          <w:sz w:val="18"/>
        </w:rPr>
        <w:lastRenderedPageBreak/>
        <w:t>Source : DGCL. Données DGFIP, compte de gestion, budgets principaux et annexes, opérations réelles.</w:t>
      </w:r>
    </w:p>
    <w:p w:rsidR="00FA3A07" w:rsidRDefault="00FA3A07" w:rsidP="0019237B">
      <w:pPr>
        <w:spacing w:after="0" w:line="240" w:lineRule="auto"/>
        <w:jc w:val="both"/>
        <w:rPr>
          <w:rFonts w:ascii="Bookman Old Style" w:hAnsi="Bookman Old Style" w:cs="Times New Roman"/>
          <w:i/>
          <w:sz w:val="18"/>
        </w:rPr>
        <w:sectPr w:rsidR="00FA3A07" w:rsidSect="00FA3A07">
          <w:type w:val="continuous"/>
          <w:pgSz w:w="11906" w:h="16838"/>
          <w:pgMar w:top="992" w:right="992" w:bottom="992" w:left="992" w:header="709" w:footer="709" w:gutter="0"/>
          <w:cols w:space="708"/>
          <w:docGrid w:linePitch="360"/>
        </w:sectPr>
      </w:pPr>
    </w:p>
    <w:p w:rsidR="009B2196" w:rsidRDefault="00FA3A07" w:rsidP="0019237B">
      <w:pPr>
        <w:spacing w:after="0" w:line="240" w:lineRule="auto"/>
        <w:jc w:val="both"/>
        <w:rPr>
          <w:rFonts w:ascii="Bookman Old Style" w:hAnsi="Bookman Old Style" w:cs="Times New Roman"/>
          <w:sz w:val="20"/>
          <w:szCs w:val="20"/>
        </w:rPr>
      </w:pPr>
      <w:r w:rsidRPr="00AB6274">
        <w:rPr>
          <w:rFonts w:ascii="Bookman Old Style" w:hAnsi="Bookman Old Style" w:cs="Times New Roman"/>
          <w:sz w:val="20"/>
          <w:szCs w:val="20"/>
        </w:rPr>
        <w:lastRenderedPageBreak/>
        <w:t xml:space="preserve">Les variations de ces dépenses entre 2015 et 2019 sont d’ampleur inégale selon les années, mais les différences </w:t>
      </w:r>
      <w:r w:rsidR="009B2196">
        <w:rPr>
          <w:rFonts w:ascii="Bookman Old Style" w:hAnsi="Bookman Old Style" w:cs="Times New Roman"/>
          <w:sz w:val="20"/>
          <w:szCs w:val="20"/>
        </w:rPr>
        <w:t xml:space="preserve">entre les deux groupes de régions </w:t>
      </w:r>
      <w:r w:rsidRPr="00AB6274">
        <w:rPr>
          <w:rFonts w:ascii="Bookman Old Style" w:hAnsi="Bookman Old Style" w:cs="Times New Roman"/>
          <w:sz w:val="20"/>
          <w:szCs w:val="20"/>
        </w:rPr>
        <w:t xml:space="preserve">se sont estompées au bout de quatre ans. Si l’on compte en revanche les </w:t>
      </w:r>
      <w:r w:rsidR="009B2196">
        <w:rPr>
          <w:rFonts w:ascii="Bookman Old Style" w:hAnsi="Bookman Old Style" w:cs="Times New Roman"/>
          <w:sz w:val="20"/>
          <w:szCs w:val="20"/>
        </w:rPr>
        <w:t xml:space="preserve">dépenses liées </w:t>
      </w:r>
      <w:r w:rsidR="000F56AA">
        <w:rPr>
          <w:rFonts w:ascii="Bookman Old Style" w:hAnsi="Bookman Old Style" w:cs="Times New Roman"/>
          <w:sz w:val="20"/>
          <w:szCs w:val="20"/>
        </w:rPr>
        <w:t>à certaines</w:t>
      </w:r>
      <w:r w:rsidR="009B2196">
        <w:rPr>
          <w:rFonts w:ascii="Bookman Old Style" w:hAnsi="Bookman Old Style" w:cs="Times New Roman"/>
          <w:sz w:val="20"/>
          <w:szCs w:val="20"/>
        </w:rPr>
        <w:t xml:space="preserve"> compétence</w:t>
      </w:r>
      <w:r w:rsidR="000F56AA">
        <w:rPr>
          <w:rFonts w:ascii="Bookman Old Style" w:hAnsi="Bookman Old Style" w:cs="Times New Roman"/>
          <w:sz w:val="20"/>
          <w:szCs w:val="20"/>
        </w:rPr>
        <w:t>s</w:t>
      </w:r>
      <w:r w:rsidR="009B2196">
        <w:rPr>
          <w:rFonts w:ascii="Bookman Old Style" w:hAnsi="Bookman Old Style" w:cs="Times New Roman"/>
          <w:sz w:val="20"/>
          <w:szCs w:val="20"/>
        </w:rPr>
        <w:t xml:space="preserve"> </w:t>
      </w:r>
      <w:r w:rsidR="000F56AA">
        <w:rPr>
          <w:rFonts w:ascii="Bookman Old Style" w:hAnsi="Bookman Old Style" w:cs="Times New Roman"/>
          <w:sz w:val="20"/>
          <w:szCs w:val="20"/>
        </w:rPr>
        <w:t>« </w:t>
      </w:r>
      <w:r w:rsidR="009B2196">
        <w:rPr>
          <w:rFonts w:ascii="Bookman Old Style" w:hAnsi="Bookman Old Style" w:cs="Times New Roman"/>
          <w:sz w:val="20"/>
          <w:szCs w:val="20"/>
        </w:rPr>
        <w:t>transport</w:t>
      </w:r>
      <w:r w:rsidR="000F56AA">
        <w:rPr>
          <w:rFonts w:ascii="Bookman Old Style" w:hAnsi="Bookman Old Style" w:cs="Times New Roman"/>
          <w:sz w:val="20"/>
          <w:szCs w:val="20"/>
        </w:rPr>
        <w:t> »</w:t>
      </w:r>
      <w:r w:rsidRPr="00AB6274">
        <w:rPr>
          <w:rFonts w:ascii="Bookman Old Style" w:hAnsi="Bookman Old Style" w:cs="Times New Roman"/>
          <w:sz w:val="20"/>
          <w:szCs w:val="20"/>
        </w:rPr>
        <w:t xml:space="preserve"> transféré</w:t>
      </w:r>
      <w:r w:rsidR="009B2196">
        <w:rPr>
          <w:rFonts w:ascii="Bookman Old Style" w:hAnsi="Bookman Old Style" w:cs="Times New Roman"/>
          <w:sz w:val="20"/>
          <w:szCs w:val="20"/>
        </w:rPr>
        <w:t>e</w:t>
      </w:r>
      <w:r w:rsidRPr="00AB6274">
        <w:rPr>
          <w:rFonts w:ascii="Bookman Old Style" w:hAnsi="Bookman Old Style" w:cs="Times New Roman"/>
          <w:sz w:val="20"/>
          <w:szCs w:val="20"/>
        </w:rPr>
        <w:t xml:space="preserve">s </w:t>
      </w:r>
      <w:r w:rsidR="009B2196">
        <w:rPr>
          <w:rFonts w:ascii="Bookman Old Style" w:hAnsi="Bookman Old Style" w:cs="Times New Roman"/>
          <w:sz w:val="20"/>
          <w:szCs w:val="20"/>
        </w:rPr>
        <w:t>par les département</w:t>
      </w:r>
      <w:r w:rsidR="000F56AA">
        <w:rPr>
          <w:rFonts w:ascii="Bookman Old Style" w:hAnsi="Bookman Old Style" w:cs="Times New Roman"/>
          <w:sz w:val="20"/>
          <w:szCs w:val="20"/>
        </w:rPr>
        <w:t>s</w:t>
      </w:r>
      <w:r w:rsidR="009B2196">
        <w:rPr>
          <w:rFonts w:ascii="Bookman Old Style" w:hAnsi="Bookman Old Style" w:cs="Times New Roman"/>
          <w:sz w:val="20"/>
          <w:szCs w:val="20"/>
        </w:rPr>
        <w:t xml:space="preserve">, </w:t>
      </w:r>
      <w:r w:rsidRPr="00AB6274">
        <w:rPr>
          <w:rFonts w:ascii="Bookman Old Style" w:hAnsi="Bookman Old Style" w:cs="Times New Roman"/>
          <w:sz w:val="20"/>
          <w:szCs w:val="20"/>
        </w:rPr>
        <w:t xml:space="preserve">et </w:t>
      </w:r>
      <w:r w:rsidR="009B2196">
        <w:rPr>
          <w:rFonts w:ascii="Bookman Old Style" w:hAnsi="Bookman Old Style" w:cs="Times New Roman"/>
          <w:sz w:val="20"/>
          <w:szCs w:val="20"/>
        </w:rPr>
        <w:t xml:space="preserve">celles relatives à </w:t>
      </w:r>
      <w:r w:rsidRPr="00AB6274">
        <w:rPr>
          <w:rFonts w:ascii="Bookman Old Style" w:hAnsi="Bookman Old Style" w:cs="Times New Roman"/>
          <w:sz w:val="20"/>
          <w:szCs w:val="20"/>
        </w:rPr>
        <w:t>la ge</w:t>
      </w:r>
      <w:r w:rsidRPr="00AB6274">
        <w:rPr>
          <w:rFonts w:ascii="Bookman Old Style" w:hAnsi="Bookman Old Style" w:cs="Times New Roman"/>
          <w:sz w:val="20"/>
          <w:szCs w:val="20"/>
        </w:rPr>
        <w:t>s</w:t>
      </w:r>
      <w:r w:rsidRPr="00AB6274">
        <w:rPr>
          <w:rFonts w:ascii="Bookman Old Style" w:hAnsi="Bookman Old Style" w:cs="Times New Roman"/>
          <w:sz w:val="20"/>
          <w:szCs w:val="20"/>
        </w:rPr>
        <w:t>tion des fonds européens,</w:t>
      </w:r>
      <w:r w:rsidR="009B2196">
        <w:rPr>
          <w:rFonts w:ascii="Bookman Old Style" w:hAnsi="Bookman Old Style" w:cs="Times New Roman"/>
          <w:sz w:val="20"/>
          <w:szCs w:val="20"/>
        </w:rPr>
        <w:t xml:space="preserve"> les dépenses de fon</w:t>
      </w:r>
      <w:r w:rsidR="009B2196">
        <w:rPr>
          <w:rFonts w:ascii="Bookman Old Style" w:hAnsi="Bookman Old Style" w:cs="Times New Roman"/>
          <w:sz w:val="20"/>
          <w:szCs w:val="20"/>
        </w:rPr>
        <w:t>c</w:t>
      </w:r>
      <w:r w:rsidR="009B2196">
        <w:rPr>
          <w:rFonts w:ascii="Bookman Old Style" w:hAnsi="Bookman Old Style" w:cs="Times New Roman"/>
          <w:sz w:val="20"/>
          <w:szCs w:val="20"/>
        </w:rPr>
        <w:t>tionnement</w:t>
      </w:r>
      <w:r w:rsidRPr="00AB6274">
        <w:rPr>
          <w:rFonts w:ascii="Bookman Old Style" w:hAnsi="Bookman Old Style" w:cs="Times New Roman"/>
          <w:sz w:val="20"/>
          <w:szCs w:val="20"/>
        </w:rPr>
        <w:t xml:space="preserve"> augmentent beaucoup plus vite pour les régions fusionnées (+ 20 % au bout de quatre ans) que pour les régions inchangées (+ 12 %)</w:t>
      </w:r>
      <w:r w:rsidR="009B2196">
        <w:rPr>
          <w:rFonts w:ascii="Bookman Old Style" w:hAnsi="Bookman Old Style" w:cs="Times New Roman"/>
          <w:sz w:val="20"/>
          <w:szCs w:val="20"/>
        </w:rPr>
        <w:t xml:space="preserve"> </w:t>
      </w:r>
      <w:r w:rsidR="009B2196" w:rsidRPr="009B2196">
        <w:rPr>
          <w:rFonts w:ascii="Bookman Old Style" w:hAnsi="Bookman Old Style" w:cs="Times New Roman"/>
          <w:i/>
          <w:sz w:val="20"/>
          <w:szCs w:val="20"/>
        </w:rPr>
        <w:t>(Graphique 1)</w:t>
      </w:r>
      <w:r w:rsidR="009B2196">
        <w:rPr>
          <w:rFonts w:ascii="Bookman Old Style" w:hAnsi="Bookman Old Style" w:cs="Times New Roman"/>
          <w:sz w:val="20"/>
          <w:szCs w:val="20"/>
        </w:rPr>
        <w:t>. Cet écart important</w:t>
      </w:r>
      <w:r w:rsidRPr="00AB6274">
        <w:rPr>
          <w:rFonts w:ascii="Bookman Old Style" w:hAnsi="Bookman Old Style" w:cs="Times New Roman"/>
          <w:sz w:val="20"/>
          <w:szCs w:val="20"/>
        </w:rPr>
        <w:t xml:space="preserve"> est dû, entre autres, aux particularités de l’Île-de-France en matière de transferts des compétences transport</w:t>
      </w:r>
      <w:r w:rsidR="009B2196">
        <w:rPr>
          <w:rFonts w:ascii="Bookman Old Style" w:hAnsi="Bookman Old Style" w:cs="Times New Roman"/>
          <w:sz w:val="20"/>
          <w:szCs w:val="20"/>
        </w:rPr>
        <w:t>, ce qui justifie d</w:t>
      </w:r>
      <w:r w:rsidR="000F56AA">
        <w:rPr>
          <w:rFonts w:ascii="Bookman Old Style" w:hAnsi="Bookman Old Style" w:cs="Times New Roman"/>
          <w:sz w:val="20"/>
          <w:szCs w:val="20"/>
        </w:rPr>
        <w:t>’</w:t>
      </w:r>
      <w:r w:rsidR="009B2196">
        <w:rPr>
          <w:rFonts w:ascii="Bookman Old Style" w:hAnsi="Bookman Old Style" w:cs="Times New Roman"/>
          <w:sz w:val="20"/>
          <w:szCs w:val="20"/>
        </w:rPr>
        <w:t xml:space="preserve">enlever </w:t>
      </w:r>
      <w:r w:rsidR="000F56AA">
        <w:rPr>
          <w:rFonts w:ascii="Bookman Old Style" w:hAnsi="Bookman Old Style" w:cs="Times New Roman"/>
          <w:sz w:val="20"/>
          <w:szCs w:val="20"/>
        </w:rPr>
        <w:t xml:space="preserve">ces compétences </w:t>
      </w:r>
      <w:r w:rsidR="009B2196">
        <w:rPr>
          <w:rFonts w:ascii="Bookman Old Style" w:hAnsi="Bookman Old Style" w:cs="Times New Roman"/>
          <w:sz w:val="20"/>
          <w:szCs w:val="20"/>
        </w:rPr>
        <w:t>lor</w:t>
      </w:r>
      <w:r w:rsidR="009B2196">
        <w:rPr>
          <w:rFonts w:ascii="Bookman Old Style" w:hAnsi="Bookman Old Style" w:cs="Times New Roman"/>
          <w:sz w:val="20"/>
          <w:szCs w:val="20"/>
        </w:rPr>
        <w:t>s</w:t>
      </w:r>
      <w:r w:rsidR="009B2196">
        <w:rPr>
          <w:rFonts w:ascii="Bookman Old Style" w:hAnsi="Bookman Old Style" w:cs="Times New Roman"/>
          <w:sz w:val="20"/>
          <w:szCs w:val="20"/>
        </w:rPr>
        <w:t>qu’on veut comparer ces deux groupes</w:t>
      </w:r>
      <w:r w:rsidRPr="00AB6274">
        <w:rPr>
          <w:rFonts w:ascii="Bookman Old Style" w:hAnsi="Bookman Old Style" w:cs="Times New Roman"/>
          <w:i/>
          <w:sz w:val="20"/>
          <w:szCs w:val="20"/>
        </w:rPr>
        <w:t xml:space="preserve"> (enc</w:t>
      </w:r>
      <w:r w:rsidRPr="00AB6274">
        <w:rPr>
          <w:rFonts w:ascii="Bookman Old Style" w:hAnsi="Bookman Old Style" w:cs="Times New Roman"/>
          <w:i/>
          <w:sz w:val="20"/>
          <w:szCs w:val="20"/>
        </w:rPr>
        <w:t>a</w:t>
      </w:r>
      <w:r w:rsidRPr="00AB6274">
        <w:rPr>
          <w:rFonts w:ascii="Bookman Old Style" w:hAnsi="Bookman Old Style" w:cs="Times New Roman"/>
          <w:i/>
          <w:sz w:val="20"/>
          <w:szCs w:val="20"/>
        </w:rPr>
        <w:t>dré</w:t>
      </w:r>
      <w:r>
        <w:rPr>
          <w:rFonts w:ascii="Bookman Old Style" w:hAnsi="Bookman Old Style" w:cs="Times New Roman"/>
          <w:i/>
          <w:sz w:val="20"/>
          <w:szCs w:val="20"/>
        </w:rPr>
        <w:t> </w:t>
      </w:r>
      <w:r w:rsidRPr="00AB6274">
        <w:rPr>
          <w:rFonts w:ascii="Bookman Old Style" w:hAnsi="Bookman Old Style" w:cs="Times New Roman"/>
          <w:i/>
          <w:sz w:val="20"/>
          <w:szCs w:val="20"/>
        </w:rPr>
        <w:t>1)</w:t>
      </w:r>
      <w:r w:rsidRPr="00AB6274">
        <w:rPr>
          <w:rFonts w:ascii="Bookman Old Style" w:hAnsi="Bookman Old Style" w:cs="Times New Roman"/>
          <w:sz w:val="20"/>
          <w:szCs w:val="20"/>
        </w:rPr>
        <w:t>.</w:t>
      </w:r>
      <w:r w:rsidR="009B2196">
        <w:rPr>
          <w:rFonts w:ascii="Bookman Old Style" w:hAnsi="Bookman Old Style" w:cs="Times New Roman"/>
          <w:sz w:val="20"/>
          <w:szCs w:val="20"/>
        </w:rPr>
        <w:t xml:space="preserve"> </w:t>
      </w:r>
    </w:p>
    <w:p w:rsidR="009B2196" w:rsidRDefault="009B2196" w:rsidP="0019237B">
      <w:pPr>
        <w:spacing w:after="0" w:line="240" w:lineRule="auto"/>
        <w:jc w:val="both"/>
        <w:rPr>
          <w:rFonts w:ascii="Bookman Old Style" w:hAnsi="Bookman Old Style" w:cs="Times New Roman"/>
          <w:sz w:val="20"/>
          <w:szCs w:val="20"/>
        </w:rPr>
      </w:pPr>
    </w:p>
    <w:p w:rsidR="00843C5E" w:rsidRDefault="00156C42" w:rsidP="0019237B">
      <w:pPr>
        <w:spacing w:after="0" w:line="240" w:lineRule="auto"/>
        <w:jc w:val="both"/>
        <w:rPr>
          <w:rFonts w:ascii="Bookman Old Style" w:hAnsi="Bookman Old Style" w:cs="Times New Roman"/>
          <w:sz w:val="20"/>
          <w:szCs w:val="20"/>
        </w:rPr>
      </w:pPr>
      <w:r w:rsidRPr="00FA3A07">
        <w:rPr>
          <w:rFonts w:ascii="Bookman Old Style" w:hAnsi="Bookman Old Style" w:cs="Times New Roman"/>
          <w:sz w:val="20"/>
          <w:szCs w:val="20"/>
        </w:rPr>
        <w:t xml:space="preserve">Les </w:t>
      </w:r>
      <w:r w:rsidR="000F56AA">
        <w:rPr>
          <w:rFonts w:ascii="Bookman Old Style" w:hAnsi="Bookman Old Style" w:cs="Times New Roman"/>
          <w:sz w:val="20"/>
          <w:szCs w:val="20"/>
        </w:rPr>
        <w:t>compétences</w:t>
      </w:r>
      <w:r w:rsidRPr="00FA3A07">
        <w:rPr>
          <w:rFonts w:ascii="Bookman Old Style" w:hAnsi="Bookman Old Style" w:cs="Times New Roman"/>
          <w:sz w:val="20"/>
          <w:szCs w:val="20"/>
        </w:rPr>
        <w:t xml:space="preserve"> de transports transféré</w:t>
      </w:r>
      <w:r w:rsidR="006C777E">
        <w:rPr>
          <w:rFonts w:ascii="Bookman Old Style" w:hAnsi="Bookman Old Style" w:cs="Times New Roman"/>
          <w:sz w:val="20"/>
          <w:szCs w:val="20"/>
        </w:rPr>
        <w:t>e</w:t>
      </w:r>
      <w:r w:rsidRPr="00FA3A07">
        <w:rPr>
          <w:rFonts w:ascii="Bookman Old Style" w:hAnsi="Bookman Old Style" w:cs="Times New Roman"/>
          <w:sz w:val="20"/>
          <w:szCs w:val="20"/>
        </w:rPr>
        <w:t>s et la gestion des fonds européens se concentrent pri</w:t>
      </w:r>
      <w:r w:rsidRPr="00FA3A07">
        <w:rPr>
          <w:rFonts w:ascii="Bookman Old Style" w:hAnsi="Bookman Old Style" w:cs="Times New Roman"/>
          <w:sz w:val="20"/>
          <w:szCs w:val="20"/>
        </w:rPr>
        <w:t>n</w:t>
      </w:r>
      <w:r w:rsidRPr="00FA3A07">
        <w:rPr>
          <w:rFonts w:ascii="Bookman Old Style" w:hAnsi="Bookman Old Style" w:cs="Times New Roman"/>
          <w:sz w:val="20"/>
          <w:szCs w:val="20"/>
        </w:rPr>
        <w:t>cipalement sur les achats et charges externes et</w:t>
      </w:r>
      <w:r w:rsidR="004409D3" w:rsidRPr="00FA3A07">
        <w:rPr>
          <w:rFonts w:ascii="Bookman Old Style" w:hAnsi="Bookman Old Style" w:cs="Times New Roman"/>
          <w:sz w:val="20"/>
          <w:szCs w:val="20"/>
        </w:rPr>
        <w:t>,</w:t>
      </w:r>
      <w:r w:rsidR="00CD4763" w:rsidRPr="00FA3A07">
        <w:rPr>
          <w:rFonts w:ascii="Bookman Old Style" w:hAnsi="Bookman Old Style" w:cs="Times New Roman"/>
          <w:sz w:val="20"/>
          <w:szCs w:val="20"/>
        </w:rPr>
        <w:t xml:space="preserve"> </w:t>
      </w:r>
      <w:r w:rsidR="004409D3" w:rsidRPr="00FA3A07">
        <w:rPr>
          <w:rFonts w:ascii="Bookman Old Style" w:hAnsi="Bookman Old Style" w:cs="Times New Roman"/>
          <w:sz w:val="20"/>
          <w:szCs w:val="20"/>
        </w:rPr>
        <w:t>dans une moindre mesure,</w:t>
      </w:r>
      <w:r w:rsidRPr="00FA3A07">
        <w:rPr>
          <w:rFonts w:ascii="Bookman Old Style" w:hAnsi="Bookman Old Style" w:cs="Times New Roman"/>
          <w:sz w:val="20"/>
          <w:szCs w:val="20"/>
        </w:rPr>
        <w:t xml:space="preserve"> sur les dépenses d’intervention (</w:t>
      </w:r>
      <w:r w:rsidR="009E177A" w:rsidRPr="00FA3A07">
        <w:rPr>
          <w:rFonts w:ascii="Bookman Old Style" w:hAnsi="Bookman Old Style" w:cs="Times New Roman"/>
          <w:sz w:val="20"/>
          <w:szCs w:val="20"/>
        </w:rPr>
        <w:t xml:space="preserve">constituées </w:t>
      </w:r>
      <w:r w:rsidRPr="00FA3A07">
        <w:rPr>
          <w:rFonts w:ascii="Bookman Old Style" w:hAnsi="Bookman Old Style" w:cs="Times New Roman"/>
          <w:sz w:val="20"/>
          <w:szCs w:val="20"/>
        </w:rPr>
        <w:t xml:space="preserve">principalement de </w:t>
      </w:r>
      <w:r w:rsidRPr="00FA3A07">
        <w:rPr>
          <w:rFonts w:ascii="Bookman Old Style" w:hAnsi="Bookman Old Style" w:cs="Times New Roman"/>
          <w:sz w:val="20"/>
          <w:szCs w:val="20"/>
        </w:rPr>
        <w:lastRenderedPageBreak/>
        <w:t xml:space="preserve">subventions versées). On </w:t>
      </w:r>
      <w:r w:rsidR="009B2196">
        <w:rPr>
          <w:rFonts w:ascii="Bookman Old Style" w:hAnsi="Bookman Old Style" w:cs="Times New Roman"/>
          <w:sz w:val="20"/>
          <w:szCs w:val="20"/>
        </w:rPr>
        <w:t xml:space="preserve">y </w:t>
      </w:r>
      <w:r w:rsidRPr="00FA3A07">
        <w:rPr>
          <w:rFonts w:ascii="Bookman Old Style" w:hAnsi="Bookman Old Style" w:cs="Times New Roman"/>
          <w:sz w:val="20"/>
          <w:szCs w:val="20"/>
        </w:rPr>
        <w:t>retrouve donc</w:t>
      </w:r>
      <w:r w:rsidR="009B2196">
        <w:rPr>
          <w:rFonts w:ascii="Bookman Old Style" w:hAnsi="Bookman Old Style" w:cs="Times New Roman"/>
          <w:sz w:val="20"/>
          <w:szCs w:val="20"/>
        </w:rPr>
        <w:t>,</w:t>
      </w:r>
      <w:r w:rsidR="009B2196" w:rsidRPr="009B2196">
        <w:rPr>
          <w:rFonts w:ascii="Bookman Old Style" w:hAnsi="Bookman Old Style" w:cs="Times New Roman"/>
          <w:sz w:val="20"/>
          <w:szCs w:val="20"/>
        </w:rPr>
        <w:t xml:space="preserve"> </w:t>
      </w:r>
      <w:r w:rsidR="009B2196" w:rsidRPr="00FA3A07">
        <w:rPr>
          <w:rFonts w:ascii="Bookman Old Style" w:hAnsi="Bookman Old Style" w:cs="Times New Roman"/>
          <w:sz w:val="20"/>
          <w:szCs w:val="20"/>
        </w:rPr>
        <w:t>de manière amplifiée</w:t>
      </w:r>
      <w:r w:rsidR="009B2196">
        <w:rPr>
          <w:rFonts w:ascii="Bookman Old Style" w:hAnsi="Bookman Old Style" w:cs="Times New Roman"/>
          <w:sz w:val="20"/>
          <w:szCs w:val="20"/>
        </w:rPr>
        <w:t>,</w:t>
      </w:r>
      <w:r w:rsidRPr="00FA3A07">
        <w:rPr>
          <w:rFonts w:ascii="Bookman Old Style" w:hAnsi="Bookman Old Style" w:cs="Times New Roman"/>
          <w:sz w:val="20"/>
          <w:szCs w:val="20"/>
        </w:rPr>
        <w:t xml:space="preserve"> les constats faits sur l</w:t>
      </w:r>
      <w:r w:rsidR="00A0145C" w:rsidRPr="00FA3A07">
        <w:rPr>
          <w:rFonts w:ascii="Bookman Old Style" w:hAnsi="Bookman Old Style" w:cs="Times New Roman"/>
          <w:sz w:val="20"/>
          <w:szCs w:val="20"/>
        </w:rPr>
        <w:t>’ensemble d</w:t>
      </w:r>
      <w:r w:rsidRPr="00FA3A07">
        <w:rPr>
          <w:rFonts w:ascii="Bookman Old Style" w:hAnsi="Bookman Old Style" w:cs="Times New Roman"/>
          <w:sz w:val="20"/>
          <w:szCs w:val="20"/>
        </w:rPr>
        <w:t xml:space="preserve">es dépenses </w:t>
      </w:r>
      <w:r w:rsidR="00A0145C" w:rsidRPr="00FA3A07">
        <w:rPr>
          <w:rFonts w:ascii="Bookman Old Style" w:hAnsi="Bookman Old Style" w:cs="Times New Roman"/>
          <w:sz w:val="20"/>
          <w:szCs w:val="20"/>
        </w:rPr>
        <w:t>de fonctionnement</w:t>
      </w:r>
      <w:r w:rsidRPr="00FA3A07">
        <w:rPr>
          <w:rFonts w:ascii="Bookman Old Style" w:hAnsi="Bookman Old Style" w:cs="Times New Roman"/>
          <w:sz w:val="20"/>
          <w:szCs w:val="20"/>
        </w:rPr>
        <w:t xml:space="preserve"> : évolutions à peu près parallèles pour les </w:t>
      </w:r>
      <w:r w:rsidR="004409D3" w:rsidRPr="00FA3A07">
        <w:rPr>
          <w:rFonts w:ascii="Bookman Old Style" w:hAnsi="Bookman Old Style" w:cs="Times New Roman"/>
          <w:sz w:val="20"/>
          <w:szCs w:val="20"/>
        </w:rPr>
        <w:t xml:space="preserve">deux groupes de </w:t>
      </w:r>
      <w:r w:rsidRPr="00FA3A07">
        <w:rPr>
          <w:rFonts w:ascii="Bookman Old Style" w:hAnsi="Bookman Old Style" w:cs="Times New Roman"/>
          <w:sz w:val="20"/>
          <w:szCs w:val="20"/>
        </w:rPr>
        <w:t>régions</w:t>
      </w:r>
      <w:r w:rsidR="009B2196">
        <w:rPr>
          <w:rFonts w:ascii="Bookman Old Style" w:hAnsi="Bookman Old Style" w:cs="Times New Roman"/>
          <w:sz w:val="20"/>
          <w:szCs w:val="20"/>
        </w:rPr>
        <w:t xml:space="preserve"> hors transports transférés et gestion des fonds européens,</w:t>
      </w:r>
      <w:r w:rsidRPr="00FA3A07">
        <w:rPr>
          <w:rFonts w:ascii="Bookman Old Style" w:hAnsi="Bookman Old Style" w:cs="Times New Roman"/>
          <w:sz w:val="20"/>
          <w:szCs w:val="20"/>
        </w:rPr>
        <w:t xml:space="preserve"> </w:t>
      </w:r>
      <w:r w:rsidR="004409D3" w:rsidRPr="00FA3A07">
        <w:rPr>
          <w:rFonts w:ascii="Bookman Old Style" w:hAnsi="Bookman Old Style" w:cs="Times New Roman"/>
          <w:sz w:val="20"/>
          <w:szCs w:val="20"/>
        </w:rPr>
        <w:t>mais</w:t>
      </w:r>
      <w:r w:rsidRPr="00FA3A07">
        <w:rPr>
          <w:rFonts w:ascii="Bookman Old Style" w:hAnsi="Bookman Old Style" w:cs="Times New Roman"/>
          <w:sz w:val="20"/>
          <w:szCs w:val="20"/>
        </w:rPr>
        <w:t xml:space="preserve"> progression bien plus rapide pour les régions fusionnées si on intègre </w:t>
      </w:r>
      <w:r w:rsidR="004409D3" w:rsidRPr="00FA3A07">
        <w:rPr>
          <w:rFonts w:ascii="Bookman Old Style" w:hAnsi="Bookman Old Style" w:cs="Times New Roman"/>
          <w:sz w:val="20"/>
          <w:szCs w:val="20"/>
        </w:rPr>
        <w:t xml:space="preserve">ces dépenses </w:t>
      </w:r>
      <w:r w:rsidRPr="00FA3A07">
        <w:rPr>
          <w:rFonts w:ascii="Bookman Old Style" w:hAnsi="Bookman Old Style" w:cs="Times New Roman"/>
          <w:sz w:val="20"/>
          <w:szCs w:val="20"/>
        </w:rPr>
        <w:t>dans l’analyse</w:t>
      </w:r>
      <w:r w:rsidRPr="00FA3A07">
        <w:rPr>
          <w:rFonts w:ascii="Bookman Old Style" w:hAnsi="Bookman Old Style" w:cs="Times New Roman"/>
          <w:i/>
          <w:sz w:val="20"/>
          <w:szCs w:val="20"/>
        </w:rPr>
        <w:t xml:space="preserve"> (gr</w:t>
      </w:r>
      <w:r w:rsidRPr="00FA3A07">
        <w:rPr>
          <w:rFonts w:ascii="Bookman Old Style" w:hAnsi="Bookman Old Style" w:cs="Times New Roman"/>
          <w:i/>
          <w:sz w:val="20"/>
          <w:szCs w:val="20"/>
        </w:rPr>
        <w:t>a</w:t>
      </w:r>
      <w:r w:rsidRPr="00FA3A07">
        <w:rPr>
          <w:rFonts w:ascii="Bookman Old Style" w:hAnsi="Bookman Old Style" w:cs="Times New Roman"/>
          <w:i/>
          <w:sz w:val="20"/>
          <w:szCs w:val="20"/>
        </w:rPr>
        <w:t>phiques 2</w:t>
      </w:r>
      <w:r w:rsidR="00285498">
        <w:rPr>
          <w:rFonts w:ascii="Bookman Old Style" w:hAnsi="Bookman Old Style" w:cs="Times New Roman"/>
          <w:i/>
          <w:sz w:val="20"/>
          <w:szCs w:val="20"/>
        </w:rPr>
        <w:t>a et 2b</w:t>
      </w:r>
      <w:r w:rsidRPr="00FA3A07">
        <w:rPr>
          <w:rFonts w:ascii="Bookman Old Style" w:hAnsi="Bookman Old Style" w:cs="Times New Roman"/>
          <w:i/>
          <w:sz w:val="20"/>
          <w:szCs w:val="20"/>
        </w:rPr>
        <w:t>)</w:t>
      </w:r>
      <w:r w:rsidRPr="00FA3A07">
        <w:rPr>
          <w:rFonts w:ascii="Bookman Old Style" w:hAnsi="Bookman Old Style" w:cs="Times New Roman"/>
          <w:sz w:val="20"/>
          <w:szCs w:val="20"/>
        </w:rPr>
        <w:t xml:space="preserve">. </w:t>
      </w:r>
    </w:p>
    <w:p w:rsidR="009B2196" w:rsidRPr="00FA3A07" w:rsidRDefault="009B2196" w:rsidP="0019237B">
      <w:pPr>
        <w:spacing w:after="0" w:line="240" w:lineRule="auto"/>
        <w:jc w:val="both"/>
        <w:rPr>
          <w:rFonts w:ascii="Bookman Old Style" w:hAnsi="Bookman Old Style" w:cs="Times New Roman"/>
          <w:sz w:val="20"/>
          <w:szCs w:val="20"/>
        </w:rPr>
      </w:pPr>
    </w:p>
    <w:p w:rsidR="00FA3A07" w:rsidRDefault="00921943" w:rsidP="0019237B">
      <w:pPr>
        <w:spacing w:after="0" w:line="240" w:lineRule="auto"/>
        <w:jc w:val="both"/>
        <w:rPr>
          <w:rFonts w:ascii="Bookman Old Style" w:hAnsi="Bookman Old Style" w:cs="Times New Roman"/>
          <w:sz w:val="20"/>
          <w:szCs w:val="20"/>
        </w:rPr>
      </w:pPr>
      <w:r>
        <w:rPr>
          <w:rFonts w:ascii="Bookman Old Style" w:hAnsi="Bookman Old Style" w:cs="Times New Roman"/>
          <w:sz w:val="20"/>
          <w:szCs w:val="20"/>
        </w:rPr>
        <w:t>L</w:t>
      </w:r>
      <w:r w:rsidR="00156C42" w:rsidRPr="00FA3A07">
        <w:rPr>
          <w:rFonts w:ascii="Bookman Old Style" w:hAnsi="Bookman Old Style" w:cs="Times New Roman"/>
          <w:sz w:val="20"/>
          <w:szCs w:val="20"/>
        </w:rPr>
        <w:t xml:space="preserve">es </w:t>
      </w:r>
      <w:r>
        <w:rPr>
          <w:rFonts w:ascii="Bookman Old Style" w:hAnsi="Bookman Old Style" w:cs="Times New Roman"/>
          <w:sz w:val="20"/>
          <w:szCs w:val="20"/>
        </w:rPr>
        <w:t xml:space="preserve">autres dépenses de fonctionnement </w:t>
      </w:r>
      <w:r w:rsidR="004409D3" w:rsidRPr="00FA3A07">
        <w:rPr>
          <w:rFonts w:ascii="Bookman Old Style" w:hAnsi="Bookman Old Style" w:cs="Times New Roman"/>
          <w:sz w:val="20"/>
          <w:szCs w:val="20"/>
        </w:rPr>
        <w:t xml:space="preserve">ont </w:t>
      </w:r>
      <w:r>
        <w:rPr>
          <w:rFonts w:ascii="Bookman Old Style" w:hAnsi="Bookman Old Style" w:cs="Times New Roman"/>
          <w:sz w:val="20"/>
          <w:szCs w:val="20"/>
        </w:rPr>
        <w:t xml:space="preserve">en revanche </w:t>
      </w:r>
      <w:r w:rsidR="004409D3" w:rsidRPr="00FA3A07">
        <w:rPr>
          <w:rFonts w:ascii="Bookman Old Style" w:hAnsi="Bookman Old Style" w:cs="Times New Roman"/>
          <w:sz w:val="20"/>
          <w:szCs w:val="20"/>
        </w:rPr>
        <w:t xml:space="preserve">progressé moins vite </w:t>
      </w:r>
      <w:r w:rsidR="00DB794D">
        <w:rPr>
          <w:rFonts w:ascii="Bookman Old Style" w:hAnsi="Bookman Old Style" w:cs="Times New Roman"/>
          <w:sz w:val="20"/>
          <w:szCs w:val="20"/>
        </w:rPr>
        <w:t>pour les</w:t>
      </w:r>
      <w:r w:rsidR="00DB794D" w:rsidRPr="00FA3A07">
        <w:rPr>
          <w:rFonts w:ascii="Bookman Old Style" w:hAnsi="Bookman Old Style" w:cs="Times New Roman"/>
          <w:sz w:val="20"/>
          <w:szCs w:val="20"/>
        </w:rPr>
        <w:t xml:space="preserve"> régions </w:t>
      </w:r>
      <w:r w:rsidR="00DB794D">
        <w:rPr>
          <w:rFonts w:ascii="Bookman Old Style" w:hAnsi="Bookman Old Style" w:cs="Times New Roman"/>
          <w:sz w:val="20"/>
          <w:szCs w:val="20"/>
        </w:rPr>
        <w:t>fusionnées</w:t>
      </w:r>
      <w:r w:rsidR="004409D3" w:rsidRPr="00FA3A07">
        <w:rPr>
          <w:rFonts w:ascii="Bookman Old Style" w:hAnsi="Bookman Old Style" w:cs="Times New Roman"/>
          <w:sz w:val="20"/>
          <w:szCs w:val="20"/>
        </w:rPr>
        <w:t> : + 10 % sur quatre ans pour les f</w:t>
      </w:r>
      <w:r w:rsidR="00A0145C" w:rsidRPr="00FA3A07">
        <w:rPr>
          <w:rFonts w:ascii="Bookman Old Style" w:hAnsi="Bookman Old Style" w:cs="Times New Roman"/>
          <w:sz w:val="20"/>
          <w:szCs w:val="20"/>
        </w:rPr>
        <w:t>r</w:t>
      </w:r>
      <w:r w:rsidR="004409D3" w:rsidRPr="00FA3A07">
        <w:rPr>
          <w:rFonts w:ascii="Bookman Old Style" w:hAnsi="Bookman Old Style" w:cs="Times New Roman"/>
          <w:sz w:val="20"/>
          <w:szCs w:val="20"/>
        </w:rPr>
        <w:t>ais de personnel</w:t>
      </w:r>
      <w:r w:rsidR="00156C42" w:rsidRPr="00FA3A07">
        <w:rPr>
          <w:rFonts w:ascii="Bookman Old Style" w:hAnsi="Bookman Old Style" w:cs="Times New Roman"/>
          <w:sz w:val="20"/>
          <w:szCs w:val="20"/>
        </w:rPr>
        <w:t xml:space="preserve"> </w:t>
      </w:r>
      <w:r w:rsidR="004421BE" w:rsidRPr="00FA3A07">
        <w:rPr>
          <w:rFonts w:ascii="Bookman Old Style" w:hAnsi="Bookman Old Style" w:cs="Times New Roman"/>
          <w:sz w:val="20"/>
          <w:szCs w:val="20"/>
        </w:rPr>
        <w:t xml:space="preserve">des </w:t>
      </w:r>
      <w:r w:rsidR="00156C42" w:rsidRPr="00FA3A07">
        <w:rPr>
          <w:rFonts w:ascii="Bookman Old Style" w:hAnsi="Bookman Old Style" w:cs="Times New Roman"/>
          <w:sz w:val="20"/>
          <w:szCs w:val="20"/>
        </w:rPr>
        <w:t>régions fusionnées</w:t>
      </w:r>
      <w:r w:rsidR="004409D3" w:rsidRPr="00FA3A07">
        <w:rPr>
          <w:rFonts w:ascii="Bookman Old Style" w:hAnsi="Bookman Old Style" w:cs="Times New Roman"/>
          <w:sz w:val="20"/>
          <w:szCs w:val="20"/>
        </w:rPr>
        <w:t>,</w:t>
      </w:r>
      <w:r w:rsidR="00156C42" w:rsidRPr="00FA3A07">
        <w:rPr>
          <w:rFonts w:ascii="Bookman Old Style" w:hAnsi="Bookman Old Style" w:cs="Times New Roman"/>
          <w:sz w:val="20"/>
          <w:szCs w:val="20"/>
        </w:rPr>
        <w:t xml:space="preserve"> </w:t>
      </w:r>
      <w:r w:rsidR="004421BE" w:rsidRPr="00FA3A07">
        <w:rPr>
          <w:rFonts w:ascii="Bookman Old Style" w:hAnsi="Bookman Old Style" w:cs="Times New Roman"/>
          <w:sz w:val="20"/>
          <w:szCs w:val="20"/>
        </w:rPr>
        <w:t xml:space="preserve">donc </w:t>
      </w:r>
      <w:r w:rsidR="00156C42" w:rsidRPr="00FA3A07">
        <w:rPr>
          <w:rFonts w:ascii="Bookman Old Style" w:hAnsi="Bookman Old Style" w:cs="Times New Roman"/>
          <w:sz w:val="20"/>
          <w:szCs w:val="20"/>
        </w:rPr>
        <w:t>un peu moins que celles des régions inchangées (+ 12 %)</w:t>
      </w:r>
      <w:r>
        <w:rPr>
          <w:rFonts w:ascii="Bookman Old Style" w:hAnsi="Bookman Old Style" w:cs="Times New Roman"/>
          <w:sz w:val="20"/>
          <w:szCs w:val="20"/>
        </w:rPr>
        <w:t xml:space="preserve"> </w:t>
      </w:r>
      <w:r w:rsidRPr="00FA3A07">
        <w:rPr>
          <w:rFonts w:ascii="Bookman Old Style" w:hAnsi="Bookman Old Style" w:cs="Times New Roman"/>
          <w:i/>
          <w:sz w:val="20"/>
          <w:szCs w:val="20"/>
        </w:rPr>
        <w:t>(</w:t>
      </w:r>
      <w:proofErr w:type="gramStart"/>
      <w:r w:rsidRPr="00FA3A07">
        <w:rPr>
          <w:rFonts w:ascii="Bookman Old Style" w:hAnsi="Bookman Old Style" w:cs="Times New Roman"/>
          <w:i/>
          <w:sz w:val="20"/>
          <w:szCs w:val="20"/>
        </w:rPr>
        <w:t>graphiques</w:t>
      </w:r>
      <w:proofErr w:type="gramEnd"/>
      <w:r w:rsidRPr="00FA3A07">
        <w:rPr>
          <w:rFonts w:ascii="Bookman Old Style" w:hAnsi="Bookman Old Style" w:cs="Times New Roman"/>
          <w:i/>
          <w:sz w:val="20"/>
          <w:szCs w:val="20"/>
        </w:rPr>
        <w:t xml:space="preserve"> 2</w:t>
      </w:r>
      <w:r>
        <w:rPr>
          <w:rFonts w:ascii="Bookman Old Style" w:hAnsi="Bookman Old Style" w:cs="Times New Roman"/>
          <w:i/>
          <w:sz w:val="20"/>
          <w:szCs w:val="20"/>
        </w:rPr>
        <w:t>c et 2d</w:t>
      </w:r>
      <w:r w:rsidRPr="00FA3A07">
        <w:rPr>
          <w:rFonts w:ascii="Bookman Old Style" w:hAnsi="Bookman Old Style" w:cs="Times New Roman"/>
          <w:i/>
          <w:sz w:val="20"/>
          <w:szCs w:val="20"/>
        </w:rPr>
        <w:t>)</w:t>
      </w:r>
      <w:r w:rsidRPr="00FA3A07">
        <w:rPr>
          <w:rFonts w:ascii="Bookman Old Style" w:hAnsi="Bookman Old Style" w:cs="Times New Roman"/>
          <w:sz w:val="20"/>
          <w:szCs w:val="20"/>
        </w:rPr>
        <w:t>.</w:t>
      </w:r>
      <w:r w:rsidR="00156C42" w:rsidRPr="00FA3A07">
        <w:rPr>
          <w:rFonts w:ascii="Bookman Old Style" w:hAnsi="Bookman Old Style" w:cs="Times New Roman"/>
          <w:sz w:val="20"/>
          <w:szCs w:val="20"/>
        </w:rPr>
        <w:t xml:space="preserve"> De même, les charges financières des régions fusionnées ont diminué assez régulièrement entre 2015 et 2019 (- 20 % en quatre ans)</w:t>
      </w:r>
      <w:r w:rsidR="004421BE" w:rsidRPr="00FA3A07">
        <w:rPr>
          <w:rFonts w:ascii="Bookman Old Style" w:hAnsi="Bookman Old Style" w:cs="Times New Roman"/>
          <w:sz w:val="20"/>
          <w:szCs w:val="20"/>
        </w:rPr>
        <w:t>,</w:t>
      </w:r>
      <w:r w:rsidR="00156C42" w:rsidRPr="00FA3A07">
        <w:rPr>
          <w:rFonts w:ascii="Bookman Old Style" w:hAnsi="Bookman Old Style" w:cs="Times New Roman"/>
          <w:sz w:val="20"/>
          <w:szCs w:val="20"/>
        </w:rPr>
        <w:t xml:space="preserve"> </w:t>
      </w:r>
      <w:r w:rsidR="00A0145C" w:rsidRPr="00FA3A07">
        <w:rPr>
          <w:rFonts w:ascii="Bookman Old Style" w:hAnsi="Bookman Old Style" w:cs="Times New Roman"/>
          <w:sz w:val="20"/>
          <w:szCs w:val="20"/>
        </w:rPr>
        <w:t>tandis que</w:t>
      </w:r>
      <w:r w:rsidR="00156C42" w:rsidRPr="00FA3A07">
        <w:rPr>
          <w:rFonts w:ascii="Bookman Old Style" w:hAnsi="Bookman Old Style" w:cs="Times New Roman"/>
          <w:sz w:val="20"/>
          <w:szCs w:val="20"/>
        </w:rPr>
        <w:t xml:space="preserve"> celles des r</w:t>
      </w:r>
      <w:r w:rsidR="00156C42" w:rsidRPr="00FA3A07">
        <w:rPr>
          <w:rFonts w:ascii="Bookman Old Style" w:hAnsi="Bookman Old Style" w:cs="Times New Roman"/>
          <w:sz w:val="20"/>
          <w:szCs w:val="20"/>
        </w:rPr>
        <w:t>é</w:t>
      </w:r>
      <w:r w:rsidR="00156C42" w:rsidRPr="00FA3A07">
        <w:rPr>
          <w:rFonts w:ascii="Bookman Old Style" w:hAnsi="Bookman Old Style" w:cs="Times New Roman"/>
          <w:sz w:val="20"/>
          <w:szCs w:val="20"/>
        </w:rPr>
        <w:t xml:space="preserve">gions inchangées </w:t>
      </w:r>
      <w:r w:rsidR="00A0145C" w:rsidRPr="00FA3A07">
        <w:rPr>
          <w:rFonts w:ascii="Bookman Old Style" w:hAnsi="Bookman Old Style" w:cs="Times New Roman"/>
          <w:sz w:val="20"/>
          <w:szCs w:val="20"/>
        </w:rPr>
        <w:t xml:space="preserve">ont augmenté </w:t>
      </w:r>
      <w:r w:rsidR="00156C42" w:rsidRPr="00FA3A07">
        <w:rPr>
          <w:rFonts w:ascii="Bookman Old Style" w:hAnsi="Bookman Old Style" w:cs="Times New Roman"/>
          <w:sz w:val="20"/>
          <w:szCs w:val="20"/>
        </w:rPr>
        <w:t>(+ 6 %).</w:t>
      </w:r>
      <w:r w:rsidRPr="00921943">
        <w:rPr>
          <w:rFonts w:ascii="Bookman Old Style" w:hAnsi="Bookman Old Style" w:cs="Times New Roman"/>
          <w:sz w:val="20"/>
          <w:szCs w:val="20"/>
        </w:rPr>
        <w:t xml:space="preserve"> </w:t>
      </w:r>
      <w:r>
        <w:rPr>
          <w:rFonts w:ascii="Bookman Old Style" w:hAnsi="Bookman Old Style" w:cs="Times New Roman"/>
          <w:sz w:val="20"/>
          <w:szCs w:val="20"/>
        </w:rPr>
        <w:t>Ces d</w:t>
      </w:r>
      <w:r>
        <w:rPr>
          <w:rFonts w:ascii="Bookman Old Style" w:hAnsi="Bookman Old Style" w:cs="Times New Roman"/>
          <w:sz w:val="20"/>
          <w:szCs w:val="20"/>
        </w:rPr>
        <w:t>é</w:t>
      </w:r>
      <w:r>
        <w:rPr>
          <w:rFonts w:ascii="Bookman Old Style" w:hAnsi="Bookman Old Style" w:cs="Times New Roman"/>
          <w:sz w:val="20"/>
          <w:szCs w:val="20"/>
        </w:rPr>
        <w:t xml:space="preserve">penses </w:t>
      </w:r>
      <w:r w:rsidRPr="00FA3A07">
        <w:rPr>
          <w:rFonts w:ascii="Bookman Old Style" w:hAnsi="Bookman Old Style" w:cs="Times New Roman"/>
          <w:sz w:val="20"/>
          <w:szCs w:val="20"/>
        </w:rPr>
        <w:t xml:space="preserve">ne sont quasiment pas </w:t>
      </w:r>
      <w:r w:rsidR="006C777E">
        <w:rPr>
          <w:rFonts w:ascii="Bookman Old Style" w:hAnsi="Bookman Old Style" w:cs="Times New Roman"/>
          <w:sz w:val="20"/>
          <w:szCs w:val="20"/>
        </w:rPr>
        <w:t>concernées</w:t>
      </w:r>
      <w:r w:rsidRPr="00FA3A07">
        <w:rPr>
          <w:rFonts w:ascii="Bookman Old Style" w:hAnsi="Bookman Old Style" w:cs="Times New Roman"/>
          <w:sz w:val="20"/>
          <w:szCs w:val="20"/>
        </w:rPr>
        <w:t xml:space="preserve"> par </w:t>
      </w:r>
      <w:r>
        <w:rPr>
          <w:rFonts w:ascii="Bookman Old Style" w:hAnsi="Bookman Old Style" w:cs="Times New Roman"/>
          <w:sz w:val="20"/>
          <w:szCs w:val="20"/>
        </w:rPr>
        <w:t>l</w:t>
      </w:r>
      <w:r w:rsidRPr="00FA3A07">
        <w:rPr>
          <w:rFonts w:ascii="Bookman Old Style" w:hAnsi="Bookman Old Style" w:cs="Times New Roman"/>
          <w:sz w:val="20"/>
          <w:szCs w:val="20"/>
        </w:rPr>
        <w:t>es</w:t>
      </w:r>
      <w:r>
        <w:rPr>
          <w:rFonts w:ascii="Bookman Old Style" w:hAnsi="Bookman Old Style" w:cs="Times New Roman"/>
          <w:sz w:val="20"/>
          <w:szCs w:val="20"/>
        </w:rPr>
        <w:t xml:space="preserve"> transferts de</w:t>
      </w:r>
      <w:r w:rsidRPr="00FA3A07">
        <w:rPr>
          <w:rFonts w:ascii="Bookman Old Style" w:hAnsi="Bookman Old Style" w:cs="Times New Roman"/>
          <w:sz w:val="20"/>
          <w:szCs w:val="20"/>
        </w:rPr>
        <w:t xml:space="preserve"> </w:t>
      </w:r>
      <w:r>
        <w:rPr>
          <w:rFonts w:ascii="Bookman Old Style" w:hAnsi="Bookman Old Style" w:cs="Times New Roman"/>
          <w:sz w:val="20"/>
          <w:szCs w:val="20"/>
        </w:rPr>
        <w:t>compétences.</w:t>
      </w:r>
    </w:p>
    <w:p w:rsidR="00FA3A07" w:rsidRDefault="00FA3A07" w:rsidP="0019237B">
      <w:pPr>
        <w:spacing w:after="0" w:line="240" w:lineRule="auto"/>
        <w:jc w:val="both"/>
        <w:rPr>
          <w:rFonts w:ascii="Bookman Old Style" w:hAnsi="Bookman Old Style" w:cs="Times New Roman"/>
          <w:sz w:val="20"/>
          <w:szCs w:val="20"/>
        </w:rPr>
        <w:sectPr w:rsidR="00FA3A07" w:rsidSect="00FA3A07">
          <w:type w:val="continuous"/>
          <w:pgSz w:w="11906" w:h="16838"/>
          <w:pgMar w:top="851" w:right="737" w:bottom="851" w:left="737" w:header="709" w:footer="709" w:gutter="0"/>
          <w:cols w:num="2" w:space="708"/>
          <w:docGrid w:linePitch="360"/>
        </w:sectPr>
      </w:pPr>
    </w:p>
    <w:p w:rsidR="00B46B10" w:rsidRPr="00FA3A07" w:rsidRDefault="00B46B10" w:rsidP="0019237B">
      <w:pPr>
        <w:spacing w:after="0" w:line="240" w:lineRule="auto"/>
        <w:jc w:val="both"/>
        <w:rPr>
          <w:rFonts w:ascii="Bookman Old Style" w:hAnsi="Bookman Old Style" w:cs="Times New Roman"/>
          <w:sz w:val="20"/>
          <w:szCs w:val="20"/>
        </w:rPr>
      </w:pPr>
    </w:p>
    <w:p w:rsidR="00B46B10" w:rsidRPr="00FA3A07" w:rsidRDefault="00B46B10" w:rsidP="00B46B10">
      <w:pPr>
        <w:spacing w:after="0" w:line="240" w:lineRule="auto"/>
        <w:jc w:val="center"/>
        <w:rPr>
          <w:rFonts w:ascii="Bookman Old Style" w:eastAsia="Times New Roman" w:hAnsi="Bookman Old Style" w:cs="Times New Roman"/>
          <w:sz w:val="20"/>
          <w:szCs w:val="20"/>
          <w:lang w:eastAsia="fr-FR"/>
        </w:rPr>
      </w:pPr>
      <w:r w:rsidRPr="00FA3A07">
        <w:rPr>
          <w:rFonts w:ascii="Bookman Old Style" w:eastAsia="Times New Roman" w:hAnsi="Bookman Old Style" w:cs="Times New Roman"/>
          <w:sz w:val="20"/>
          <w:szCs w:val="20"/>
          <w:lang w:eastAsia="fr-FR"/>
        </w:rPr>
        <w:t>Graphique 2 - Évolution des différentes dépenses de fonctionnement, selon le groupe de régions</w:t>
      </w:r>
    </w:p>
    <w:p w:rsidR="00B46B10" w:rsidRPr="00FA3A07" w:rsidRDefault="00B46B10" w:rsidP="00B46B10">
      <w:pPr>
        <w:spacing w:after="0" w:line="240" w:lineRule="auto"/>
        <w:jc w:val="both"/>
        <w:rPr>
          <w:rFonts w:ascii="Bookman Old Style" w:eastAsia="Times New Roman" w:hAnsi="Bookman Old Style" w:cs="Times New Roman"/>
          <w:sz w:val="20"/>
          <w:szCs w:val="20"/>
          <w:lang w:eastAsia="fr-FR"/>
        </w:rPr>
      </w:pPr>
    </w:p>
    <w:p w:rsidR="000F56AA" w:rsidRPr="00607DB6" w:rsidRDefault="00B46B10" w:rsidP="00DB794D">
      <w:pPr>
        <w:spacing w:after="120" w:line="240" w:lineRule="auto"/>
        <w:jc w:val="center"/>
        <w:rPr>
          <w:rFonts w:ascii="Bookman Old Style" w:eastAsia="Times New Roman" w:hAnsi="Bookman Old Style" w:cs="Times New Roman"/>
          <w:sz w:val="24"/>
          <w:szCs w:val="20"/>
          <w:lang w:eastAsia="fr-FR"/>
        </w:rPr>
      </w:pPr>
      <w:r w:rsidRPr="00FA3A07">
        <w:rPr>
          <w:rFonts w:ascii="Bookman Old Style" w:eastAsia="Times New Roman" w:hAnsi="Bookman Old Style" w:cs="Times New Roman"/>
          <w:sz w:val="20"/>
          <w:szCs w:val="20"/>
          <w:lang w:eastAsia="fr-FR"/>
        </w:rPr>
        <w:t>G2 a - Achats et charges externes</w:t>
      </w:r>
    </w:p>
    <w:p w:rsidR="00B46B10" w:rsidRPr="00607DB6" w:rsidRDefault="00B46B10" w:rsidP="00B46B10">
      <w:pPr>
        <w:spacing w:after="0" w:line="240" w:lineRule="auto"/>
        <w:jc w:val="center"/>
        <w:rPr>
          <w:rFonts w:ascii="Bookman Old Style" w:eastAsia="Times New Roman" w:hAnsi="Bookman Old Style" w:cs="Times New Roman"/>
          <w:sz w:val="24"/>
          <w:szCs w:val="20"/>
          <w:lang w:eastAsia="fr-FR"/>
        </w:rPr>
        <w:sectPr w:rsidR="00B46B10" w:rsidRPr="00607DB6" w:rsidSect="00B46B10">
          <w:type w:val="continuous"/>
          <w:pgSz w:w="11906" w:h="16838"/>
          <w:pgMar w:top="992" w:right="992" w:bottom="992" w:left="992" w:header="709" w:footer="709" w:gutter="0"/>
          <w:cols w:space="708"/>
          <w:docGrid w:linePitch="360"/>
        </w:sectPr>
      </w:pP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i/>
          <w:sz w:val="20"/>
          <w:szCs w:val="20"/>
          <w:lang w:eastAsia="fr-FR"/>
        </w:rPr>
        <w:lastRenderedPageBreak/>
        <w:t xml:space="preserve">Hors transports transférés et </w:t>
      </w: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proofErr w:type="gramStart"/>
      <w:r w:rsidRPr="000F56AA">
        <w:rPr>
          <w:rFonts w:ascii="Bookman Old Style" w:eastAsia="Times New Roman" w:hAnsi="Bookman Old Style" w:cs="Times New Roman"/>
          <w:i/>
          <w:sz w:val="20"/>
          <w:szCs w:val="20"/>
          <w:lang w:eastAsia="fr-FR"/>
        </w:rPr>
        <w:t>gestion</w:t>
      </w:r>
      <w:proofErr w:type="gramEnd"/>
      <w:r w:rsidRPr="000F56AA">
        <w:rPr>
          <w:rFonts w:ascii="Bookman Old Style" w:eastAsia="Times New Roman" w:hAnsi="Bookman Old Style" w:cs="Times New Roman"/>
          <w:i/>
          <w:sz w:val="20"/>
          <w:szCs w:val="20"/>
          <w:lang w:eastAsia="fr-FR"/>
        </w:rPr>
        <w:t xml:space="preserve"> des fonds européens</w:t>
      </w:r>
    </w:p>
    <w:p w:rsidR="00B46B10" w:rsidRPr="000F56AA" w:rsidRDefault="00B46B10" w:rsidP="00B46B10">
      <w:pPr>
        <w:spacing w:after="0" w:line="240" w:lineRule="auto"/>
        <w:jc w:val="center"/>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55991"/>
            <wp:effectExtent l="19050" t="0" r="8255"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sz w:val="20"/>
          <w:szCs w:val="20"/>
          <w:lang w:eastAsia="fr-FR"/>
        </w:rPr>
        <w:br w:type="column"/>
      </w:r>
      <w:r w:rsidRPr="000F56AA">
        <w:rPr>
          <w:rFonts w:ascii="Bookman Old Style" w:eastAsia="Times New Roman" w:hAnsi="Bookman Old Style" w:cs="Times New Roman"/>
          <w:i/>
          <w:sz w:val="20"/>
          <w:szCs w:val="20"/>
          <w:lang w:eastAsia="fr-FR"/>
        </w:rPr>
        <w:lastRenderedPageBreak/>
        <w:t>Toutes fonctions</w:t>
      </w:r>
    </w:p>
    <w:p w:rsidR="00B46B10" w:rsidRPr="000F56AA" w:rsidRDefault="00B46B10" w:rsidP="00B46B10">
      <w:pPr>
        <w:spacing w:after="0" w:line="240" w:lineRule="auto"/>
        <w:jc w:val="center"/>
        <w:rPr>
          <w:rFonts w:ascii="Bookman Old Style" w:eastAsia="Times New Roman" w:hAnsi="Bookman Old Style" w:cs="Times New Roman"/>
          <w:sz w:val="20"/>
          <w:szCs w:val="20"/>
          <w:lang w:eastAsia="fr-FR"/>
        </w:rPr>
      </w:pPr>
    </w:p>
    <w:p w:rsidR="00B46B10" w:rsidRPr="000F56AA" w:rsidRDefault="00B46B10" w:rsidP="00B46B10">
      <w:pPr>
        <w:spacing w:after="0" w:line="240" w:lineRule="auto"/>
        <w:jc w:val="both"/>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60395"/>
            <wp:effectExtent l="19050" t="0" r="8255"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925445" cy="2160395"/>
                    </a:xfrm>
                    <a:prstGeom prst="rect">
                      <a:avLst/>
                    </a:prstGeom>
                    <a:noFill/>
                    <a:ln w="9525">
                      <a:noFill/>
                      <a:miter lim="800000"/>
                      <a:headEnd/>
                      <a:tailEnd/>
                    </a:ln>
                  </pic:spPr>
                </pic:pic>
              </a:graphicData>
            </a:graphic>
          </wp:inline>
        </w:drawing>
      </w:r>
    </w:p>
    <w:p w:rsidR="00B46B10" w:rsidRPr="000F56AA" w:rsidRDefault="00B46B10" w:rsidP="00B46B10">
      <w:pPr>
        <w:spacing w:after="0" w:line="240" w:lineRule="auto"/>
        <w:jc w:val="both"/>
        <w:rPr>
          <w:rFonts w:ascii="Bookman Old Style" w:hAnsi="Bookman Old Style" w:cs="Times New Roman"/>
          <w:sz w:val="20"/>
          <w:szCs w:val="20"/>
        </w:rPr>
        <w:sectPr w:rsidR="00B46B10" w:rsidRPr="000F56AA" w:rsidSect="00073A03">
          <w:type w:val="continuous"/>
          <w:pgSz w:w="11906" w:h="16838"/>
          <w:pgMar w:top="992" w:right="992" w:bottom="992" w:left="992" w:header="709" w:footer="709" w:gutter="0"/>
          <w:cols w:num="2" w:space="708"/>
          <w:docGrid w:linePitch="360"/>
        </w:sectPr>
      </w:pPr>
    </w:p>
    <w:p w:rsidR="00B46B10" w:rsidRPr="000F56AA" w:rsidRDefault="00B46B10" w:rsidP="00DB794D">
      <w:pPr>
        <w:spacing w:after="120" w:line="240" w:lineRule="auto"/>
        <w:jc w:val="center"/>
        <w:rPr>
          <w:rFonts w:ascii="Bookman Old Style" w:eastAsia="Times New Roman" w:hAnsi="Bookman Old Style" w:cs="Times New Roman"/>
          <w:sz w:val="20"/>
          <w:szCs w:val="20"/>
          <w:lang w:eastAsia="fr-FR"/>
        </w:rPr>
      </w:pPr>
      <w:r w:rsidRPr="000F56AA">
        <w:rPr>
          <w:rFonts w:ascii="Bookman Old Style" w:eastAsia="Times New Roman" w:hAnsi="Bookman Old Style" w:cs="Times New Roman"/>
          <w:sz w:val="20"/>
          <w:szCs w:val="20"/>
          <w:lang w:eastAsia="fr-FR"/>
        </w:rPr>
        <w:lastRenderedPageBreak/>
        <w:t xml:space="preserve">G2 b - </w:t>
      </w:r>
      <w:r w:rsidR="00BF193B" w:rsidRPr="000F56AA">
        <w:rPr>
          <w:rFonts w:ascii="Bookman Old Style" w:eastAsia="Times New Roman" w:hAnsi="Bookman Old Style" w:cs="Times New Roman"/>
          <w:sz w:val="20"/>
          <w:szCs w:val="20"/>
          <w:lang w:eastAsia="fr-FR"/>
        </w:rPr>
        <w:t>Dépenses d’intervention</w:t>
      </w:r>
    </w:p>
    <w:p w:rsidR="00B46B10" w:rsidRPr="000F56AA" w:rsidRDefault="00B46B10" w:rsidP="00B46B10">
      <w:pPr>
        <w:spacing w:after="0" w:line="240" w:lineRule="auto"/>
        <w:jc w:val="center"/>
        <w:rPr>
          <w:rFonts w:ascii="Bookman Old Style" w:eastAsia="Times New Roman" w:hAnsi="Bookman Old Style" w:cs="Times New Roman"/>
          <w:sz w:val="20"/>
          <w:szCs w:val="20"/>
          <w:lang w:eastAsia="fr-FR"/>
        </w:rPr>
        <w:sectPr w:rsidR="00B46B10" w:rsidRPr="000F56AA" w:rsidSect="00B46B10">
          <w:type w:val="continuous"/>
          <w:pgSz w:w="11906" w:h="16838"/>
          <w:pgMar w:top="992" w:right="992" w:bottom="992" w:left="992" w:header="709" w:footer="709" w:gutter="0"/>
          <w:cols w:space="708"/>
          <w:docGrid w:linePitch="360"/>
        </w:sectPr>
      </w:pP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i/>
          <w:sz w:val="20"/>
          <w:szCs w:val="20"/>
          <w:lang w:eastAsia="fr-FR"/>
        </w:rPr>
        <w:lastRenderedPageBreak/>
        <w:t xml:space="preserve">Hors transports transférés et </w:t>
      </w: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proofErr w:type="gramStart"/>
      <w:r w:rsidRPr="000F56AA">
        <w:rPr>
          <w:rFonts w:ascii="Bookman Old Style" w:eastAsia="Times New Roman" w:hAnsi="Bookman Old Style" w:cs="Times New Roman"/>
          <w:i/>
          <w:sz w:val="20"/>
          <w:szCs w:val="20"/>
          <w:lang w:eastAsia="fr-FR"/>
        </w:rPr>
        <w:t>gestion</w:t>
      </w:r>
      <w:proofErr w:type="gramEnd"/>
      <w:r w:rsidRPr="000F56AA">
        <w:rPr>
          <w:rFonts w:ascii="Bookman Old Style" w:eastAsia="Times New Roman" w:hAnsi="Bookman Old Style" w:cs="Times New Roman"/>
          <w:i/>
          <w:sz w:val="20"/>
          <w:szCs w:val="20"/>
          <w:lang w:eastAsia="fr-FR"/>
        </w:rPr>
        <w:t xml:space="preserve"> des fonds européens</w:t>
      </w:r>
    </w:p>
    <w:p w:rsidR="00B46B10" w:rsidRPr="000F56AA" w:rsidRDefault="00BF193B" w:rsidP="00B46B10">
      <w:pPr>
        <w:spacing w:after="0" w:line="240" w:lineRule="auto"/>
        <w:jc w:val="center"/>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55991"/>
            <wp:effectExtent l="19050" t="0" r="8255"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B46B10" w:rsidRPr="000F56AA" w:rsidRDefault="00B46B10" w:rsidP="00B46B10">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sz w:val="20"/>
          <w:szCs w:val="20"/>
          <w:lang w:eastAsia="fr-FR"/>
        </w:rPr>
        <w:br w:type="column"/>
      </w:r>
      <w:r w:rsidRPr="000F56AA">
        <w:rPr>
          <w:rFonts w:ascii="Bookman Old Style" w:eastAsia="Times New Roman" w:hAnsi="Bookman Old Style" w:cs="Times New Roman"/>
          <w:i/>
          <w:sz w:val="20"/>
          <w:szCs w:val="20"/>
          <w:lang w:eastAsia="fr-FR"/>
        </w:rPr>
        <w:lastRenderedPageBreak/>
        <w:t>Toutes fonctions</w:t>
      </w:r>
    </w:p>
    <w:p w:rsidR="00B46B10" w:rsidRPr="000F56AA" w:rsidRDefault="00B46B10" w:rsidP="00B46B10">
      <w:pPr>
        <w:spacing w:after="0" w:line="240" w:lineRule="auto"/>
        <w:jc w:val="center"/>
        <w:rPr>
          <w:rFonts w:ascii="Bookman Old Style" w:eastAsia="Times New Roman" w:hAnsi="Bookman Old Style" w:cs="Times New Roman"/>
          <w:sz w:val="20"/>
          <w:szCs w:val="20"/>
          <w:lang w:eastAsia="fr-FR"/>
        </w:rPr>
      </w:pPr>
    </w:p>
    <w:p w:rsidR="00B46B10" w:rsidRPr="000F56AA" w:rsidRDefault="00BF193B" w:rsidP="00B46B10">
      <w:pPr>
        <w:spacing w:after="0" w:line="240" w:lineRule="auto"/>
        <w:jc w:val="both"/>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60395"/>
            <wp:effectExtent l="19050" t="0" r="8255"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925445" cy="2160395"/>
                    </a:xfrm>
                    <a:prstGeom prst="rect">
                      <a:avLst/>
                    </a:prstGeom>
                    <a:noFill/>
                    <a:ln w="9525">
                      <a:noFill/>
                      <a:miter lim="800000"/>
                      <a:headEnd/>
                      <a:tailEnd/>
                    </a:ln>
                  </pic:spPr>
                </pic:pic>
              </a:graphicData>
            </a:graphic>
          </wp:inline>
        </w:drawing>
      </w:r>
    </w:p>
    <w:p w:rsidR="00B46B10" w:rsidRPr="000F56AA" w:rsidRDefault="00B46B10" w:rsidP="00B46B10">
      <w:pPr>
        <w:spacing w:after="0" w:line="240" w:lineRule="auto"/>
        <w:jc w:val="both"/>
        <w:rPr>
          <w:rFonts w:ascii="Bookman Old Style" w:hAnsi="Bookman Old Style" w:cs="Times New Roman"/>
          <w:sz w:val="20"/>
          <w:szCs w:val="20"/>
        </w:rPr>
        <w:sectPr w:rsidR="00B46B10" w:rsidRPr="000F56AA" w:rsidSect="00921943">
          <w:type w:val="continuous"/>
          <w:pgSz w:w="11906" w:h="16838"/>
          <w:pgMar w:top="992" w:right="992" w:bottom="992" w:left="992" w:header="680" w:footer="680" w:gutter="0"/>
          <w:cols w:num="2" w:space="708"/>
          <w:docGrid w:linePitch="360"/>
        </w:sectPr>
      </w:pPr>
    </w:p>
    <w:p w:rsidR="00BF193B" w:rsidRPr="000F56AA" w:rsidRDefault="00BF193B" w:rsidP="007A31EE">
      <w:pPr>
        <w:spacing w:after="120" w:line="240" w:lineRule="auto"/>
        <w:jc w:val="center"/>
        <w:rPr>
          <w:rFonts w:ascii="Bookman Old Style" w:eastAsia="Times New Roman" w:hAnsi="Bookman Old Style" w:cs="Times New Roman"/>
          <w:sz w:val="20"/>
          <w:szCs w:val="20"/>
          <w:lang w:eastAsia="fr-FR"/>
        </w:rPr>
      </w:pPr>
      <w:r w:rsidRPr="000F56AA">
        <w:rPr>
          <w:rFonts w:ascii="Bookman Old Style" w:eastAsia="Times New Roman" w:hAnsi="Bookman Old Style" w:cs="Times New Roman"/>
          <w:sz w:val="20"/>
          <w:szCs w:val="20"/>
          <w:lang w:eastAsia="fr-FR"/>
        </w:rPr>
        <w:lastRenderedPageBreak/>
        <w:t xml:space="preserve">G2 </w:t>
      </w:r>
      <w:r w:rsidR="0032612D" w:rsidRPr="000F56AA">
        <w:rPr>
          <w:rFonts w:ascii="Bookman Old Style" w:eastAsia="Times New Roman" w:hAnsi="Bookman Old Style" w:cs="Times New Roman"/>
          <w:sz w:val="20"/>
          <w:szCs w:val="20"/>
          <w:lang w:eastAsia="fr-FR"/>
        </w:rPr>
        <w:t>c</w:t>
      </w:r>
      <w:r w:rsidRPr="000F56AA">
        <w:rPr>
          <w:rFonts w:ascii="Bookman Old Style" w:eastAsia="Times New Roman" w:hAnsi="Bookman Old Style" w:cs="Times New Roman"/>
          <w:sz w:val="20"/>
          <w:szCs w:val="20"/>
          <w:lang w:eastAsia="fr-FR"/>
        </w:rPr>
        <w:t xml:space="preserve"> - Frais de personnel</w:t>
      </w:r>
    </w:p>
    <w:p w:rsidR="00BF193B" w:rsidRPr="000F56AA" w:rsidRDefault="00BF193B" w:rsidP="00BF193B">
      <w:pPr>
        <w:spacing w:after="0" w:line="240" w:lineRule="auto"/>
        <w:jc w:val="center"/>
        <w:rPr>
          <w:rFonts w:ascii="Bookman Old Style" w:eastAsia="Times New Roman" w:hAnsi="Bookman Old Style" w:cs="Times New Roman"/>
          <w:sz w:val="20"/>
          <w:szCs w:val="20"/>
          <w:lang w:eastAsia="fr-FR"/>
        </w:rPr>
        <w:sectPr w:rsidR="00BF193B" w:rsidRPr="000F56AA" w:rsidSect="00B46B10">
          <w:type w:val="continuous"/>
          <w:pgSz w:w="11906" w:h="16838"/>
          <w:pgMar w:top="992" w:right="992" w:bottom="992" w:left="992" w:header="709" w:footer="709" w:gutter="0"/>
          <w:cols w:space="708"/>
          <w:docGrid w:linePitch="360"/>
        </w:sectPr>
      </w:pPr>
    </w:p>
    <w:p w:rsidR="00BF193B" w:rsidRPr="000F56AA" w:rsidRDefault="00BF193B" w:rsidP="00BF193B">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i/>
          <w:sz w:val="20"/>
          <w:szCs w:val="20"/>
          <w:lang w:eastAsia="fr-FR"/>
        </w:rPr>
        <w:lastRenderedPageBreak/>
        <w:t xml:space="preserve">Hors transports transférés et </w:t>
      </w:r>
    </w:p>
    <w:p w:rsidR="00BF193B" w:rsidRPr="000F56AA" w:rsidRDefault="00BF193B" w:rsidP="00BF193B">
      <w:pPr>
        <w:spacing w:after="0" w:line="240" w:lineRule="auto"/>
        <w:jc w:val="center"/>
        <w:rPr>
          <w:rFonts w:ascii="Bookman Old Style" w:eastAsia="Times New Roman" w:hAnsi="Bookman Old Style" w:cs="Times New Roman"/>
          <w:i/>
          <w:sz w:val="20"/>
          <w:szCs w:val="20"/>
          <w:lang w:eastAsia="fr-FR"/>
        </w:rPr>
      </w:pPr>
      <w:proofErr w:type="gramStart"/>
      <w:r w:rsidRPr="000F56AA">
        <w:rPr>
          <w:rFonts w:ascii="Bookman Old Style" w:eastAsia="Times New Roman" w:hAnsi="Bookman Old Style" w:cs="Times New Roman"/>
          <w:i/>
          <w:sz w:val="20"/>
          <w:szCs w:val="20"/>
          <w:lang w:eastAsia="fr-FR"/>
        </w:rPr>
        <w:t>gestion</w:t>
      </w:r>
      <w:proofErr w:type="gramEnd"/>
      <w:r w:rsidRPr="000F56AA">
        <w:rPr>
          <w:rFonts w:ascii="Bookman Old Style" w:eastAsia="Times New Roman" w:hAnsi="Bookman Old Style" w:cs="Times New Roman"/>
          <w:i/>
          <w:sz w:val="20"/>
          <w:szCs w:val="20"/>
          <w:lang w:eastAsia="fr-FR"/>
        </w:rPr>
        <w:t xml:space="preserve"> des fonds européens</w:t>
      </w:r>
    </w:p>
    <w:p w:rsidR="00BF193B" w:rsidRPr="000F56AA" w:rsidRDefault="004409D3" w:rsidP="00BF193B">
      <w:pPr>
        <w:spacing w:after="0" w:line="240" w:lineRule="auto"/>
        <w:jc w:val="center"/>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55991"/>
            <wp:effectExtent l="19050" t="0" r="825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BF193B" w:rsidRPr="000F56AA" w:rsidRDefault="00BF193B" w:rsidP="00BF193B">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sz w:val="20"/>
          <w:szCs w:val="20"/>
          <w:lang w:eastAsia="fr-FR"/>
        </w:rPr>
        <w:br w:type="column"/>
      </w:r>
      <w:r w:rsidRPr="000F56AA">
        <w:rPr>
          <w:rFonts w:ascii="Bookman Old Style" w:eastAsia="Times New Roman" w:hAnsi="Bookman Old Style" w:cs="Times New Roman"/>
          <w:i/>
          <w:sz w:val="20"/>
          <w:szCs w:val="20"/>
          <w:lang w:eastAsia="fr-FR"/>
        </w:rPr>
        <w:lastRenderedPageBreak/>
        <w:t>Toutes fonctions</w:t>
      </w:r>
    </w:p>
    <w:p w:rsidR="00BF193B" w:rsidRPr="000F56AA" w:rsidRDefault="00BF193B" w:rsidP="00BF193B">
      <w:pPr>
        <w:spacing w:after="0" w:line="240" w:lineRule="auto"/>
        <w:jc w:val="center"/>
        <w:rPr>
          <w:rFonts w:ascii="Bookman Old Style" w:eastAsia="Times New Roman" w:hAnsi="Bookman Old Style" w:cs="Times New Roman"/>
          <w:sz w:val="20"/>
          <w:szCs w:val="20"/>
          <w:lang w:eastAsia="fr-FR"/>
        </w:rPr>
      </w:pPr>
    </w:p>
    <w:p w:rsidR="00BF193B" w:rsidRPr="000F56AA" w:rsidRDefault="004409D3" w:rsidP="00BF193B">
      <w:pPr>
        <w:spacing w:after="0" w:line="240" w:lineRule="auto"/>
        <w:jc w:val="both"/>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60395"/>
            <wp:effectExtent l="19050" t="0" r="8255" b="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925445" cy="2160395"/>
                    </a:xfrm>
                    <a:prstGeom prst="rect">
                      <a:avLst/>
                    </a:prstGeom>
                    <a:noFill/>
                    <a:ln w="9525">
                      <a:noFill/>
                      <a:miter lim="800000"/>
                      <a:headEnd/>
                      <a:tailEnd/>
                    </a:ln>
                  </pic:spPr>
                </pic:pic>
              </a:graphicData>
            </a:graphic>
          </wp:inline>
        </w:drawing>
      </w:r>
    </w:p>
    <w:p w:rsidR="00BF193B" w:rsidRPr="000F56AA" w:rsidRDefault="00BF193B" w:rsidP="00BF193B">
      <w:pPr>
        <w:spacing w:after="0" w:line="240" w:lineRule="auto"/>
        <w:jc w:val="both"/>
        <w:rPr>
          <w:rFonts w:ascii="Bookman Old Style" w:eastAsia="Times New Roman" w:hAnsi="Bookman Old Style" w:cs="Times New Roman"/>
          <w:sz w:val="20"/>
          <w:szCs w:val="20"/>
          <w:lang w:eastAsia="fr-FR"/>
        </w:rPr>
      </w:pPr>
    </w:p>
    <w:p w:rsidR="00BF193B" w:rsidRPr="000F56AA" w:rsidRDefault="00BF193B" w:rsidP="00BF193B">
      <w:pPr>
        <w:spacing w:after="0" w:line="240" w:lineRule="auto"/>
        <w:jc w:val="both"/>
        <w:rPr>
          <w:rFonts w:ascii="Bookman Old Style" w:hAnsi="Bookman Old Style" w:cs="Times New Roman"/>
          <w:sz w:val="20"/>
          <w:szCs w:val="20"/>
        </w:rPr>
        <w:sectPr w:rsidR="00BF193B" w:rsidRPr="000F56AA" w:rsidSect="00073A03">
          <w:type w:val="continuous"/>
          <w:pgSz w:w="11906" w:h="16838"/>
          <w:pgMar w:top="992" w:right="992" w:bottom="992" w:left="992" w:header="709" w:footer="709" w:gutter="0"/>
          <w:cols w:num="2" w:space="708"/>
          <w:docGrid w:linePitch="360"/>
        </w:sectPr>
      </w:pPr>
    </w:p>
    <w:p w:rsidR="0032612D" w:rsidRPr="000F56AA" w:rsidRDefault="0032612D" w:rsidP="007A31EE">
      <w:pPr>
        <w:spacing w:after="120" w:line="240" w:lineRule="auto"/>
        <w:jc w:val="center"/>
        <w:rPr>
          <w:rFonts w:ascii="Bookman Old Style" w:eastAsia="Times New Roman" w:hAnsi="Bookman Old Style" w:cs="Times New Roman"/>
          <w:sz w:val="20"/>
          <w:szCs w:val="20"/>
          <w:lang w:eastAsia="fr-FR"/>
        </w:rPr>
      </w:pPr>
      <w:r w:rsidRPr="000F56AA">
        <w:rPr>
          <w:rFonts w:ascii="Bookman Old Style" w:eastAsia="Times New Roman" w:hAnsi="Bookman Old Style" w:cs="Times New Roman"/>
          <w:sz w:val="20"/>
          <w:szCs w:val="20"/>
          <w:lang w:eastAsia="fr-FR"/>
        </w:rPr>
        <w:lastRenderedPageBreak/>
        <w:t>G2 d - Charges financières</w:t>
      </w:r>
    </w:p>
    <w:p w:rsidR="0032612D" w:rsidRPr="000F56AA" w:rsidRDefault="0032612D" w:rsidP="0032612D">
      <w:pPr>
        <w:spacing w:after="0" w:line="240" w:lineRule="auto"/>
        <w:jc w:val="center"/>
        <w:rPr>
          <w:rFonts w:ascii="Bookman Old Style" w:eastAsia="Times New Roman" w:hAnsi="Bookman Old Style" w:cs="Times New Roman"/>
          <w:sz w:val="20"/>
          <w:szCs w:val="20"/>
          <w:lang w:eastAsia="fr-FR"/>
        </w:rPr>
        <w:sectPr w:rsidR="0032612D" w:rsidRPr="000F56AA" w:rsidSect="00B46B10">
          <w:type w:val="continuous"/>
          <w:pgSz w:w="11906" w:h="16838"/>
          <w:pgMar w:top="992" w:right="992" w:bottom="992" w:left="992" w:header="709" w:footer="709" w:gutter="0"/>
          <w:cols w:space="708"/>
          <w:docGrid w:linePitch="360"/>
        </w:sectPr>
      </w:pPr>
    </w:p>
    <w:p w:rsidR="0032612D" w:rsidRPr="000F56AA" w:rsidRDefault="0032612D" w:rsidP="0032612D">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i/>
          <w:sz w:val="20"/>
          <w:szCs w:val="20"/>
          <w:lang w:eastAsia="fr-FR"/>
        </w:rPr>
        <w:lastRenderedPageBreak/>
        <w:t xml:space="preserve">Hors transports transférés et </w:t>
      </w:r>
    </w:p>
    <w:p w:rsidR="0032612D" w:rsidRPr="000F56AA" w:rsidRDefault="0032612D" w:rsidP="0032612D">
      <w:pPr>
        <w:spacing w:after="0" w:line="240" w:lineRule="auto"/>
        <w:jc w:val="center"/>
        <w:rPr>
          <w:rFonts w:ascii="Bookman Old Style" w:eastAsia="Times New Roman" w:hAnsi="Bookman Old Style" w:cs="Times New Roman"/>
          <w:i/>
          <w:sz w:val="20"/>
          <w:szCs w:val="20"/>
          <w:lang w:eastAsia="fr-FR"/>
        </w:rPr>
      </w:pPr>
      <w:proofErr w:type="gramStart"/>
      <w:r w:rsidRPr="000F56AA">
        <w:rPr>
          <w:rFonts w:ascii="Bookman Old Style" w:eastAsia="Times New Roman" w:hAnsi="Bookman Old Style" w:cs="Times New Roman"/>
          <w:i/>
          <w:sz w:val="20"/>
          <w:szCs w:val="20"/>
          <w:lang w:eastAsia="fr-FR"/>
        </w:rPr>
        <w:t>gestion</w:t>
      </w:r>
      <w:proofErr w:type="gramEnd"/>
      <w:r w:rsidRPr="000F56AA">
        <w:rPr>
          <w:rFonts w:ascii="Bookman Old Style" w:eastAsia="Times New Roman" w:hAnsi="Bookman Old Style" w:cs="Times New Roman"/>
          <w:i/>
          <w:sz w:val="20"/>
          <w:szCs w:val="20"/>
          <w:lang w:eastAsia="fr-FR"/>
        </w:rPr>
        <w:t xml:space="preserve"> des fonds européens</w:t>
      </w:r>
    </w:p>
    <w:p w:rsidR="0032612D" w:rsidRPr="000F56AA" w:rsidRDefault="0032612D" w:rsidP="0032612D">
      <w:pPr>
        <w:spacing w:after="0" w:line="240" w:lineRule="auto"/>
        <w:jc w:val="center"/>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55991"/>
            <wp:effectExtent l="19050" t="0" r="8255" b="0"/>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32612D" w:rsidRPr="000F56AA" w:rsidRDefault="0032612D" w:rsidP="0032612D">
      <w:pPr>
        <w:spacing w:after="0" w:line="240" w:lineRule="auto"/>
        <w:jc w:val="center"/>
        <w:rPr>
          <w:rFonts w:ascii="Bookman Old Style" w:eastAsia="Times New Roman" w:hAnsi="Bookman Old Style" w:cs="Times New Roman"/>
          <w:i/>
          <w:sz w:val="20"/>
          <w:szCs w:val="20"/>
          <w:lang w:eastAsia="fr-FR"/>
        </w:rPr>
      </w:pPr>
      <w:r w:rsidRPr="000F56AA">
        <w:rPr>
          <w:rFonts w:ascii="Bookman Old Style" w:eastAsia="Times New Roman" w:hAnsi="Bookman Old Style" w:cs="Times New Roman"/>
          <w:sz w:val="20"/>
          <w:szCs w:val="20"/>
          <w:lang w:eastAsia="fr-FR"/>
        </w:rPr>
        <w:br w:type="column"/>
      </w:r>
      <w:r w:rsidRPr="000F56AA">
        <w:rPr>
          <w:rFonts w:ascii="Bookman Old Style" w:eastAsia="Times New Roman" w:hAnsi="Bookman Old Style" w:cs="Times New Roman"/>
          <w:i/>
          <w:sz w:val="20"/>
          <w:szCs w:val="20"/>
          <w:lang w:eastAsia="fr-FR"/>
        </w:rPr>
        <w:lastRenderedPageBreak/>
        <w:t>Toutes fonctions</w:t>
      </w:r>
    </w:p>
    <w:p w:rsidR="0032612D" w:rsidRPr="000F56AA" w:rsidRDefault="0032612D" w:rsidP="0032612D">
      <w:pPr>
        <w:spacing w:after="0" w:line="240" w:lineRule="auto"/>
        <w:jc w:val="center"/>
        <w:rPr>
          <w:rFonts w:ascii="Bookman Old Style" w:eastAsia="Times New Roman" w:hAnsi="Bookman Old Style" w:cs="Times New Roman"/>
          <w:sz w:val="20"/>
          <w:szCs w:val="20"/>
          <w:lang w:eastAsia="fr-FR"/>
        </w:rPr>
      </w:pPr>
    </w:p>
    <w:p w:rsidR="0032612D" w:rsidRPr="000F56AA" w:rsidRDefault="0032612D" w:rsidP="0032612D">
      <w:pPr>
        <w:spacing w:after="0" w:line="240" w:lineRule="auto"/>
        <w:jc w:val="both"/>
        <w:rPr>
          <w:rFonts w:ascii="Bookman Old Style" w:eastAsia="Times New Roman" w:hAnsi="Bookman Old Style" w:cs="Times New Roman"/>
          <w:sz w:val="20"/>
          <w:szCs w:val="20"/>
          <w:lang w:eastAsia="fr-FR"/>
        </w:rPr>
      </w:pPr>
      <w:r w:rsidRPr="000F56AA">
        <w:rPr>
          <w:rFonts w:ascii="Bookman Old Style" w:hAnsi="Bookman Old Style"/>
          <w:noProof/>
          <w:sz w:val="20"/>
          <w:szCs w:val="20"/>
          <w:lang w:eastAsia="fr-FR"/>
        </w:rPr>
        <w:drawing>
          <wp:inline distT="0" distB="0" distL="0" distR="0">
            <wp:extent cx="2925445" cy="2160395"/>
            <wp:effectExtent l="19050" t="0" r="8255" b="0"/>
            <wp:docPr id="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925445" cy="2160395"/>
                    </a:xfrm>
                    <a:prstGeom prst="rect">
                      <a:avLst/>
                    </a:prstGeom>
                    <a:noFill/>
                    <a:ln w="9525">
                      <a:noFill/>
                      <a:miter lim="800000"/>
                      <a:headEnd/>
                      <a:tailEnd/>
                    </a:ln>
                  </pic:spPr>
                </pic:pic>
              </a:graphicData>
            </a:graphic>
          </wp:inline>
        </w:drawing>
      </w:r>
    </w:p>
    <w:p w:rsidR="0032612D" w:rsidRPr="000F56AA" w:rsidRDefault="0032612D" w:rsidP="0032612D">
      <w:pPr>
        <w:spacing w:after="0" w:line="240" w:lineRule="auto"/>
        <w:jc w:val="both"/>
        <w:rPr>
          <w:rFonts w:ascii="Bookman Old Style" w:eastAsia="Times New Roman" w:hAnsi="Bookman Old Style" w:cs="Times New Roman"/>
          <w:sz w:val="20"/>
          <w:szCs w:val="20"/>
          <w:lang w:eastAsia="fr-FR"/>
        </w:rPr>
      </w:pPr>
    </w:p>
    <w:p w:rsidR="0032612D" w:rsidRPr="000F56AA" w:rsidRDefault="0032612D" w:rsidP="0032612D">
      <w:pPr>
        <w:spacing w:after="0" w:line="240" w:lineRule="auto"/>
        <w:jc w:val="both"/>
        <w:rPr>
          <w:rFonts w:ascii="Bookman Old Style" w:hAnsi="Bookman Old Style" w:cs="Times New Roman"/>
          <w:sz w:val="20"/>
          <w:szCs w:val="20"/>
        </w:rPr>
        <w:sectPr w:rsidR="0032612D" w:rsidRPr="000F56AA" w:rsidSect="00073A03">
          <w:type w:val="continuous"/>
          <w:pgSz w:w="11906" w:h="16838"/>
          <w:pgMar w:top="992" w:right="992" w:bottom="992" w:left="992" w:header="709" w:footer="709" w:gutter="0"/>
          <w:cols w:num="2" w:space="708"/>
          <w:docGrid w:linePitch="360"/>
        </w:sectPr>
      </w:pPr>
    </w:p>
    <w:p w:rsidR="007A31EE" w:rsidRDefault="0032612D" w:rsidP="0032612D">
      <w:pPr>
        <w:spacing w:after="0" w:line="240" w:lineRule="auto"/>
        <w:jc w:val="both"/>
        <w:rPr>
          <w:rFonts w:ascii="Bookman Old Style" w:hAnsi="Bookman Old Style" w:cs="Times New Roman"/>
          <w:i/>
          <w:sz w:val="18"/>
          <w:szCs w:val="20"/>
        </w:rPr>
      </w:pPr>
      <w:r w:rsidRPr="000F56AA">
        <w:rPr>
          <w:rFonts w:ascii="Bookman Old Style" w:hAnsi="Bookman Old Style" w:cs="Times New Roman"/>
          <w:i/>
          <w:sz w:val="18"/>
          <w:szCs w:val="20"/>
        </w:rPr>
        <w:lastRenderedPageBreak/>
        <w:t>Source : DGCL. Données DGFIP, compte de gestion, budgets principaux et annexes, opérations réelles</w:t>
      </w:r>
    </w:p>
    <w:p w:rsidR="005A4236" w:rsidRDefault="005A4236" w:rsidP="0032612D">
      <w:pPr>
        <w:spacing w:after="0" w:line="240" w:lineRule="auto"/>
        <w:jc w:val="both"/>
        <w:rPr>
          <w:rFonts w:ascii="Bookman Old Style" w:hAnsi="Bookman Old Style" w:cs="Times New Roman"/>
          <w:i/>
          <w:sz w:val="18"/>
          <w:szCs w:val="20"/>
        </w:rPr>
      </w:pPr>
    </w:p>
    <w:p w:rsidR="007A31EE" w:rsidRDefault="007A31EE" w:rsidP="0032612D">
      <w:pPr>
        <w:spacing w:after="0" w:line="240" w:lineRule="auto"/>
        <w:jc w:val="both"/>
        <w:rPr>
          <w:rFonts w:ascii="Bookman Old Style" w:hAnsi="Bookman Old Style" w:cs="Times New Roman"/>
          <w:i/>
          <w:sz w:val="18"/>
          <w:szCs w:val="20"/>
        </w:rPr>
      </w:pPr>
    </w:p>
    <w:p w:rsidR="007A31EE" w:rsidRDefault="007A31EE" w:rsidP="0032612D">
      <w:pPr>
        <w:spacing w:after="0" w:line="240" w:lineRule="auto"/>
        <w:jc w:val="both"/>
        <w:rPr>
          <w:rFonts w:ascii="Bookman Old Style" w:hAnsi="Bookman Old Style" w:cs="Times New Roman"/>
          <w:i/>
          <w:sz w:val="18"/>
          <w:szCs w:val="20"/>
        </w:rPr>
      </w:pPr>
    </w:p>
    <w:p w:rsidR="007A31EE" w:rsidRDefault="007A31EE" w:rsidP="0032612D">
      <w:pPr>
        <w:spacing w:after="0" w:line="240" w:lineRule="auto"/>
        <w:jc w:val="both"/>
        <w:rPr>
          <w:rFonts w:ascii="Bookman Old Style" w:hAnsi="Bookman Old Style" w:cs="Times New Roman"/>
          <w:i/>
          <w:sz w:val="18"/>
          <w:szCs w:val="20"/>
        </w:rPr>
        <w:sectPr w:rsidR="007A31EE" w:rsidSect="00F04672">
          <w:footerReference w:type="default" r:id="rId19"/>
          <w:type w:val="continuous"/>
          <w:pgSz w:w="11906" w:h="16838"/>
          <w:pgMar w:top="992" w:right="992" w:bottom="992" w:left="992" w:header="709" w:footer="454" w:gutter="0"/>
          <w:cols w:space="708"/>
          <w:docGrid w:linePitch="360"/>
        </w:sectPr>
      </w:pPr>
    </w:p>
    <w:p w:rsidR="00B46B10" w:rsidRPr="007A31EE" w:rsidRDefault="00C52DFF" w:rsidP="00B46B10">
      <w:pPr>
        <w:spacing w:after="0" w:line="240" w:lineRule="auto"/>
        <w:jc w:val="both"/>
        <w:rPr>
          <w:rFonts w:ascii="Bookman Old Style" w:hAnsi="Bookman Old Style" w:cs="Times New Roman"/>
          <w:b/>
          <w:sz w:val="20"/>
          <w:szCs w:val="20"/>
        </w:rPr>
      </w:pPr>
      <w:r w:rsidRPr="007A31EE">
        <w:rPr>
          <w:rFonts w:ascii="Bookman Old Style" w:hAnsi="Bookman Old Style" w:cs="Times New Roman"/>
          <w:b/>
          <w:sz w:val="20"/>
          <w:szCs w:val="20"/>
        </w:rPr>
        <w:lastRenderedPageBreak/>
        <w:t>Investissement</w:t>
      </w:r>
      <w:r w:rsidR="000D39D5" w:rsidRPr="007A31EE">
        <w:rPr>
          <w:rFonts w:ascii="Bookman Old Style" w:hAnsi="Bookman Old Style" w:cs="Times New Roman"/>
          <w:b/>
          <w:sz w:val="20"/>
          <w:szCs w:val="20"/>
        </w:rPr>
        <w:t xml:space="preserve"> : </w:t>
      </w:r>
      <w:r w:rsidR="005A4236">
        <w:rPr>
          <w:rFonts w:ascii="Bookman Old Style" w:hAnsi="Bookman Old Style" w:cs="Times New Roman"/>
          <w:b/>
          <w:sz w:val="20"/>
          <w:szCs w:val="20"/>
        </w:rPr>
        <w:t>des priorités légèrement différentes entre les deux groupes</w:t>
      </w:r>
    </w:p>
    <w:p w:rsidR="00C52DFF" w:rsidRPr="007A31EE" w:rsidRDefault="00C52DFF" w:rsidP="00B46B10">
      <w:pPr>
        <w:spacing w:after="0" w:line="240" w:lineRule="auto"/>
        <w:jc w:val="both"/>
        <w:rPr>
          <w:rFonts w:ascii="Bookman Old Style" w:hAnsi="Bookman Old Style" w:cs="Times New Roman"/>
          <w:sz w:val="20"/>
          <w:szCs w:val="20"/>
        </w:rPr>
      </w:pPr>
    </w:p>
    <w:p w:rsidR="00C52DFF" w:rsidRDefault="00C52DFF" w:rsidP="005A4236">
      <w:pPr>
        <w:spacing w:after="0" w:line="276" w:lineRule="auto"/>
        <w:jc w:val="both"/>
        <w:rPr>
          <w:rFonts w:ascii="Bookman Old Style" w:hAnsi="Bookman Old Style" w:cs="Times New Roman"/>
          <w:sz w:val="20"/>
          <w:szCs w:val="20"/>
        </w:rPr>
      </w:pPr>
      <w:r w:rsidRPr="007A31EE">
        <w:rPr>
          <w:rFonts w:ascii="Bookman Old Style" w:hAnsi="Bookman Old Style" w:cs="Times New Roman"/>
          <w:sz w:val="20"/>
          <w:szCs w:val="20"/>
        </w:rPr>
        <w:t>Pour compare</w:t>
      </w:r>
      <w:r w:rsidR="007A31EE">
        <w:rPr>
          <w:rFonts w:ascii="Bookman Old Style" w:hAnsi="Bookman Old Style" w:cs="Times New Roman"/>
          <w:sz w:val="20"/>
          <w:szCs w:val="20"/>
        </w:rPr>
        <w:t>r les dépenses d’investissement</w:t>
      </w:r>
      <w:r w:rsidRPr="007A31EE">
        <w:rPr>
          <w:rFonts w:ascii="Bookman Old Style" w:hAnsi="Bookman Old Style" w:cs="Times New Roman"/>
          <w:sz w:val="20"/>
          <w:szCs w:val="20"/>
        </w:rPr>
        <w:t xml:space="preserve"> entre les deux groupes de régions, on applique les mêmes restrictions que pour les dépenses de fonctionnement, c’est-à-dire qu’on raisonne hors transports transférés et gestion des fonds européens. Pour l’investissement, ce sont ces derniers qui sont prédominants </w:t>
      </w:r>
      <w:r w:rsidR="00921943">
        <w:rPr>
          <w:rFonts w:ascii="Bookman Old Style" w:hAnsi="Bookman Old Style" w:cs="Times New Roman"/>
          <w:sz w:val="20"/>
          <w:szCs w:val="20"/>
        </w:rPr>
        <w:t>(</w:t>
      </w:r>
      <w:r w:rsidRPr="007A31EE">
        <w:rPr>
          <w:rFonts w:ascii="Bookman Old Style" w:hAnsi="Bookman Old Style" w:cs="Times New Roman"/>
          <w:sz w:val="20"/>
          <w:szCs w:val="20"/>
        </w:rPr>
        <w:t>alors que pour le fonctionnement, c</w:t>
      </w:r>
      <w:r w:rsidR="00921943">
        <w:rPr>
          <w:rFonts w:ascii="Bookman Old Style" w:hAnsi="Bookman Old Style" w:cs="Times New Roman"/>
          <w:sz w:val="20"/>
          <w:szCs w:val="20"/>
        </w:rPr>
        <w:t>e so</w:t>
      </w:r>
      <w:r w:rsidRPr="007A31EE">
        <w:rPr>
          <w:rFonts w:ascii="Bookman Old Style" w:hAnsi="Bookman Old Style" w:cs="Times New Roman"/>
          <w:sz w:val="20"/>
          <w:szCs w:val="20"/>
        </w:rPr>
        <w:t>nt les transports</w:t>
      </w:r>
      <w:r w:rsidR="00921943">
        <w:rPr>
          <w:rFonts w:ascii="Bookman Old Style" w:hAnsi="Bookman Old Style" w:cs="Times New Roman"/>
          <w:sz w:val="20"/>
          <w:szCs w:val="20"/>
        </w:rPr>
        <w:t>)</w:t>
      </w:r>
      <w:r w:rsidRPr="007A31EE">
        <w:rPr>
          <w:rFonts w:ascii="Bookman Old Style" w:hAnsi="Bookman Old Style" w:cs="Times New Roman"/>
          <w:sz w:val="20"/>
          <w:szCs w:val="20"/>
        </w:rPr>
        <w:t>. La gestion des fonds européens se développe pr</w:t>
      </w:r>
      <w:r w:rsidRPr="007A31EE">
        <w:rPr>
          <w:rFonts w:ascii="Bookman Old Style" w:hAnsi="Bookman Old Style" w:cs="Times New Roman"/>
          <w:sz w:val="20"/>
          <w:szCs w:val="20"/>
        </w:rPr>
        <w:t>o</w:t>
      </w:r>
      <w:r w:rsidRPr="007A31EE">
        <w:rPr>
          <w:rFonts w:ascii="Bookman Old Style" w:hAnsi="Bookman Old Style" w:cs="Times New Roman"/>
          <w:sz w:val="20"/>
          <w:szCs w:val="20"/>
        </w:rPr>
        <w:t>gressivement, et chaque année de nouv</w:t>
      </w:r>
      <w:r w:rsidR="00A0145C" w:rsidRPr="007A31EE">
        <w:rPr>
          <w:rFonts w:ascii="Bookman Old Style" w:hAnsi="Bookman Old Style" w:cs="Times New Roman"/>
          <w:sz w:val="20"/>
          <w:szCs w:val="20"/>
        </w:rPr>
        <w:t>elles régions sont concernées. À</w:t>
      </w:r>
      <w:r w:rsidRPr="007A31EE">
        <w:rPr>
          <w:rFonts w:ascii="Bookman Old Style" w:hAnsi="Bookman Old Style" w:cs="Times New Roman"/>
          <w:sz w:val="20"/>
          <w:szCs w:val="20"/>
        </w:rPr>
        <w:t xml:space="preserve"> la fois le rythme et l’ampleur de ces nouvelles </w:t>
      </w:r>
      <w:r w:rsidR="002612F2" w:rsidRPr="007A31EE">
        <w:rPr>
          <w:rFonts w:ascii="Bookman Old Style" w:hAnsi="Bookman Old Style" w:cs="Times New Roman"/>
          <w:sz w:val="20"/>
          <w:szCs w:val="20"/>
        </w:rPr>
        <w:t>activités</w:t>
      </w:r>
      <w:r w:rsidRPr="007A31EE">
        <w:rPr>
          <w:rFonts w:ascii="Bookman Old Style" w:hAnsi="Bookman Old Style" w:cs="Times New Roman"/>
          <w:sz w:val="20"/>
          <w:szCs w:val="20"/>
        </w:rPr>
        <w:t xml:space="preserve"> sont diff</w:t>
      </w:r>
      <w:r w:rsidRPr="007A31EE">
        <w:rPr>
          <w:rFonts w:ascii="Bookman Old Style" w:hAnsi="Bookman Old Style" w:cs="Times New Roman"/>
          <w:sz w:val="20"/>
          <w:szCs w:val="20"/>
        </w:rPr>
        <w:t>é</w:t>
      </w:r>
      <w:r w:rsidRPr="007A31EE">
        <w:rPr>
          <w:rFonts w:ascii="Bookman Old Style" w:hAnsi="Bookman Old Style" w:cs="Times New Roman"/>
          <w:sz w:val="20"/>
          <w:szCs w:val="20"/>
        </w:rPr>
        <w:t>rents pour les deux</w:t>
      </w:r>
      <w:r w:rsidR="002612F2" w:rsidRPr="007A31EE">
        <w:rPr>
          <w:rFonts w:ascii="Bookman Old Style" w:hAnsi="Bookman Old Style" w:cs="Times New Roman"/>
          <w:sz w:val="20"/>
          <w:szCs w:val="20"/>
        </w:rPr>
        <w:t xml:space="preserve"> groupes de régions, et en 2019</w:t>
      </w:r>
      <w:r w:rsidRPr="007A31EE">
        <w:rPr>
          <w:rFonts w:ascii="Bookman Old Style" w:hAnsi="Bookman Old Style" w:cs="Times New Roman"/>
          <w:sz w:val="20"/>
          <w:szCs w:val="20"/>
        </w:rPr>
        <w:t xml:space="preserve"> ces </w:t>
      </w:r>
      <w:r w:rsidR="002612F2" w:rsidRPr="007A31EE">
        <w:rPr>
          <w:rFonts w:ascii="Bookman Old Style" w:hAnsi="Bookman Old Style" w:cs="Times New Roman"/>
          <w:sz w:val="20"/>
          <w:szCs w:val="20"/>
        </w:rPr>
        <w:t>flux</w:t>
      </w:r>
      <w:r w:rsidRPr="007A31EE">
        <w:rPr>
          <w:rFonts w:ascii="Bookman Old Style" w:hAnsi="Bookman Old Style" w:cs="Times New Roman"/>
          <w:sz w:val="20"/>
          <w:szCs w:val="20"/>
        </w:rPr>
        <w:t xml:space="preserve"> représentaient 18 % des d</w:t>
      </w:r>
      <w:r w:rsidRPr="007A31EE">
        <w:rPr>
          <w:rFonts w:ascii="Bookman Old Style" w:hAnsi="Bookman Old Style" w:cs="Times New Roman"/>
          <w:sz w:val="20"/>
          <w:szCs w:val="20"/>
        </w:rPr>
        <w:t>é</w:t>
      </w:r>
      <w:r w:rsidRPr="007A31EE">
        <w:rPr>
          <w:rFonts w:ascii="Bookman Old Style" w:hAnsi="Bookman Old Style" w:cs="Times New Roman"/>
          <w:sz w:val="20"/>
          <w:szCs w:val="20"/>
        </w:rPr>
        <w:t xml:space="preserve">penses d’investissement des régions fusionnées </w:t>
      </w:r>
      <w:r w:rsidRPr="007A31EE">
        <w:rPr>
          <w:rFonts w:ascii="Bookman Old Style" w:hAnsi="Bookman Old Style" w:cs="Times New Roman"/>
          <w:sz w:val="20"/>
          <w:szCs w:val="20"/>
        </w:rPr>
        <w:lastRenderedPageBreak/>
        <w:t>contre 9 % de celles des régions inchangées</w:t>
      </w:r>
      <w:r w:rsidRPr="007A31EE">
        <w:rPr>
          <w:rFonts w:ascii="Bookman Old Style" w:hAnsi="Bookman Old Style" w:cs="Times New Roman"/>
          <w:i/>
          <w:sz w:val="20"/>
          <w:szCs w:val="20"/>
        </w:rPr>
        <w:t xml:space="preserve"> (graphique</w:t>
      </w:r>
      <w:r w:rsidR="007A31EE">
        <w:rPr>
          <w:rFonts w:ascii="Bookman Old Style" w:hAnsi="Bookman Old Style" w:cs="Times New Roman"/>
          <w:i/>
          <w:sz w:val="20"/>
          <w:szCs w:val="20"/>
        </w:rPr>
        <w:t> </w:t>
      </w:r>
      <w:r w:rsidR="003731EB" w:rsidRPr="007A31EE">
        <w:rPr>
          <w:rFonts w:ascii="Bookman Old Style" w:hAnsi="Bookman Old Style" w:cs="Times New Roman"/>
          <w:i/>
          <w:sz w:val="20"/>
          <w:szCs w:val="20"/>
        </w:rPr>
        <w:t>3)</w:t>
      </w:r>
      <w:r w:rsidR="003731EB" w:rsidRPr="007A31EE">
        <w:rPr>
          <w:rFonts w:ascii="Bookman Old Style" w:hAnsi="Bookman Old Style" w:cs="Times New Roman"/>
          <w:sz w:val="20"/>
          <w:szCs w:val="20"/>
        </w:rPr>
        <w:t>.</w:t>
      </w:r>
    </w:p>
    <w:p w:rsidR="00921943" w:rsidRPr="007A31EE" w:rsidRDefault="00921943" w:rsidP="005A4236">
      <w:pPr>
        <w:spacing w:after="0" w:line="276" w:lineRule="auto"/>
        <w:jc w:val="both"/>
        <w:rPr>
          <w:rFonts w:ascii="Bookman Old Style" w:hAnsi="Bookman Old Style" w:cs="Times New Roman"/>
          <w:sz w:val="20"/>
          <w:szCs w:val="20"/>
        </w:rPr>
      </w:pPr>
    </w:p>
    <w:p w:rsidR="00C52DFF" w:rsidRPr="007A31EE" w:rsidRDefault="00C52DFF" w:rsidP="005A4236">
      <w:pPr>
        <w:spacing w:after="0" w:line="276" w:lineRule="auto"/>
        <w:jc w:val="both"/>
        <w:rPr>
          <w:rFonts w:ascii="Bookman Old Style" w:hAnsi="Bookman Old Style" w:cs="Times New Roman"/>
          <w:sz w:val="20"/>
          <w:szCs w:val="20"/>
        </w:rPr>
      </w:pPr>
      <w:r w:rsidRPr="007A31EE">
        <w:rPr>
          <w:rFonts w:ascii="Bookman Old Style" w:hAnsi="Bookman Old Style" w:cs="Times New Roman"/>
          <w:sz w:val="20"/>
          <w:szCs w:val="20"/>
        </w:rPr>
        <w:t>Les évolutions des dépenses d’investissement sont par nature moins régulières que celles de la section de fonctionnement. De plus, elles peuvent dépendre de décisions propres à une situation régionale particulière</w:t>
      </w:r>
      <w:r w:rsidR="002612F2" w:rsidRPr="007A31EE">
        <w:rPr>
          <w:rFonts w:ascii="Bookman Old Style" w:hAnsi="Bookman Old Style" w:cs="Times New Roman"/>
          <w:sz w:val="20"/>
          <w:szCs w:val="20"/>
        </w:rPr>
        <w:t>, à des priorités que d’autres régions n’adoptent pas, ou pas au même moment</w:t>
      </w:r>
      <w:r w:rsidRPr="007A31EE">
        <w:rPr>
          <w:rFonts w:ascii="Bookman Old Style" w:hAnsi="Bookman Old Style" w:cs="Times New Roman"/>
          <w:sz w:val="20"/>
          <w:szCs w:val="20"/>
        </w:rPr>
        <w:t xml:space="preserve">. </w:t>
      </w:r>
      <w:r w:rsidR="002612F2" w:rsidRPr="007A31EE">
        <w:rPr>
          <w:rFonts w:ascii="Bookman Old Style" w:hAnsi="Bookman Old Style" w:cs="Times New Roman"/>
          <w:sz w:val="20"/>
          <w:szCs w:val="20"/>
        </w:rPr>
        <w:t>De ce fait</w:t>
      </w:r>
      <w:r w:rsidR="00921943" w:rsidRPr="007A31EE">
        <w:rPr>
          <w:rFonts w:ascii="Bookman Old Style" w:hAnsi="Bookman Old Style" w:cs="Times New Roman"/>
          <w:sz w:val="20"/>
          <w:szCs w:val="20"/>
        </w:rPr>
        <w:t>, la comparaison des deux groupes de régions est moins pertinente que pour les dépenses de fonctionnement</w:t>
      </w:r>
      <w:r w:rsidR="002612F2" w:rsidRPr="007A31EE">
        <w:rPr>
          <w:rFonts w:ascii="Bookman Old Style" w:hAnsi="Bookman Old Style" w:cs="Times New Roman"/>
          <w:sz w:val="20"/>
          <w:szCs w:val="20"/>
        </w:rPr>
        <w:t>, m</w:t>
      </w:r>
      <w:r w:rsidR="003731EB" w:rsidRPr="007A31EE">
        <w:rPr>
          <w:rFonts w:ascii="Bookman Old Style" w:hAnsi="Bookman Old Style" w:cs="Times New Roman"/>
          <w:sz w:val="20"/>
          <w:szCs w:val="20"/>
        </w:rPr>
        <w:t>ême une fois neutralisé</w:t>
      </w:r>
      <w:r w:rsidR="008D7A0A">
        <w:rPr>
          <w:rFonts w:ascii="Bookman Old Style" w:hAnsi="Bookman Old Style" w:cs="Times New Roman"/>
          <w:sz w:val="20"/>
          <w:szCs w:val="20"/>
        </w:rPr>
        <w:t xml:space="preserve"> l’effet</w:t>
      </w:r>
      <w:r w:rsidR="003731EB" w:rsidRPr="007A31EE">
        <w:rPr>
          <w:rFonts w:ascii="Bookman Old Style" w:hAnsi="Bookman Old Style" w:cs="Times New Roman"/>
          <w:sz w:val="20"/>
          <w:szCs w:val="20"/>
        </w:rPr>
        <w:t xml:space="preserve"> des évolutions des dépenses relatives aux transports transf</w:t>
      </w:r>
      <w:r w:rsidR="003731EB" w:rsidRPr="007A31EE">
        <w:rPr>
          <w:rFonts w:ascii="Bookman Old Style" w:hAnsi="Bookman Old Style" w:cs="Times New Roman"/>
          <w:sz w:val="20"/>
          <w:szCs w:val="20"/>
        </w:rPr>
        <w:t>é</w:t>
      </w:r>
      <w:r w:rsidR="003731EB" w:rsidRPr="007A31EE">
        <w:rPr>
          <w:rFonts w:ascii="Bookman Old Style" w:hAnsi="Bookman Old Style" w:cs="Times New Roman"/>
          <w:sz w:val="20"/>
          <w:szCs w:val="20"/>
        </w:rPr>
        <w:t>rés et à la gestion des fonds européens</w:t>
      </w:r>
      <w:r w:rsidRPr="007A31EE">
        <w:rPr>
          <w:rFonts w:ascii="Bookman Old Style" w:hAnsi="Bookman Old Style" w:cs="Times New Roman"/>
          <w:sz w:val="20"/>
          <w:szCs w:val="20"/>
        </w:rPr>
        <w:t xml:space="preserve">. </w:t>
      </w:r>
    </w:p>
    <w:p w:rsidR="00DA55D9" w:rsidRPr="007A31EE" w:rsidRDefault="00DA55D9" w:rsidP="005A4236">
      <w:pPr>
        <w:spacing w:after="0" w:line="276" w:lineRule="auto"/>
        <w:jc w:val="both"/>
        <w:rPr>
          <w:rFonts w:ascii="Bookman Old Style" w:hAnsi="Bookman Old Style" w:cs="Times New Roman"/>
          <w:sz w:val="20"/>
          <w:szCs w:val="20"/>
        </w:rPr>
      </w:pPr>
    </w:p>
    <w:p w:rsidR="007A31EE" w:rsidRDefault="00921943" w:rsidP="005A4236">
      <w:pPr>
        <w:spacing w:after="0" w:line="276" w:lineRule="auto"/>
        <w:jc w:val="both"/>
        <w:rPr>
          <w:rFonts w:ascii="Bookman Old Style" w:hAnsi="Bookman Old Style" w:cs="Times New Roman"/>
          <w:sz w:val="20"/>
          <w:szCs w:val="20"/>
        </w:rPr>
      </w:pPr>
      <w:r>
        <w:rPr>
          <w:rFonts w:ascii="Bookman Old Style" w:hAnsi="Bookman Old Style" w:cs="Times New Roman"/>
          <w:sz w:val="20"/>
          <w:szCs w:val="20"/>
        </w:rPr>
        <w:t>L</w:t>
      </w:r>
      <w:r w:rsidR="003731EB" w:rsidRPr="007A31EE">
        <w:rPr>
          <w:rFonts w:ascii="Bookman Old Style" w:hAnsi="Bookman Old Style" w:cs="Times New Roman"/>
          <w:sz w:val="20"/>
          <w:szCs w:val="20"/>
        </w:rPr>
        <w:t>a répartition par fonction des dépenses d’investissement n</w:t>
      </w:r>
      <w:r w:rsidR="0039085F" w:rsidRPr="007A31EE">
        <w:rPr>
          <w:rFonts w:ascii="Bookman Old Style" w:hAnsi="Bookman Old Style" w:cs="Times New Roman"/>
          <w:sz w:val="20"/>
          <w:szCs w:val="20"/>
        </w:rPr>
        <w:t>’es</w:t>
      </w:r>
      <w:r w:rsidR="003731EB" w:rsidRPr="007A31EE">
        <w:rPr>
          <w:rFonts w:ascii="Bookman Old Style" w:hAnsi="Bookman Old Style" w:cs="Times New Roman"/>
          <w:sz w:val="20"/>
          <w:szCs w:val="20"/>
        </w:rPr>
        <w:t xml:space="preserve">t pas </w:t>
      </w:r>
      <w:r w:rsidR="00A0145C" w:rsidRPr="007A31EE">
        <w:rPr>
          <w:rFonts w:ascii="Bookman Old Style" w:hAnsi="Bookman Old Style" w:cs="Times New Roman"/>
          <w:sz w:val="20"/>
          <w:szCs w:val="20"/>
        </w:rPr>
        <w:t xml:space="preserve">totalement </w:t>
      </w:r>
      <w:r w:rsidR="003731EB" w:rsidRPr="007A31EE">
        <w:rPr>
          <w:rFonts w:ascii="Bookman Old Style" w:hAnsi="Bookman Old Style" w:cs="Times New Roman"/>
          <w:sz w:val="20"/>
          <w:szCs w:val="20"/>
        </w:rPr>
        <w:t xml:space="preserve">stable </w:t>
      </w:r>
      <w:r w:rsidR="003731EB" w:rsidRPr="007A31EE">
        <w:rPr>
          <w:rFonts w:ascii="Bookman Old Style" w:hAnsi="Bookman Old Style" w:cs="Times New Roman"/>
          <w:sz w:val="20"/>
          <w:szCs w:val="20"/>
        </w:rPr>
        <w:lastRenderedPageBreak/>
        <w:t>depuis 2015</w:t>
      </w:r>
      <w:r w:rsidR="00A0145C" w:rsidRPr="007A31EE">
        <w:rPr>
          <w:rFonts w:ascii="Bookman Old Style" w:hAnsi="Bookman Old Style" w:cs="Times New Roman"/>
          <w:i/>
          <w:sz w:val="20"/>
          <w:szCs w:val="20"/>
        </w:rPr>
        <w:t xml:space="preserve"> (graphique 4)</w:t>
      </w:r>
      <w:r>
        <w:rPr>
          <w:rFonts w:ascii="Bookman Old Style" w:hAnsi="Bookman Old Style" w:cs="Times New Roman"/>
          <w:i/>
          <w:sz w:val="20"/>
          <w:szCs w:val="20"/>
        </w:rPr>
        <w:t>,</w:t>
      </w:r>
      <w:r w:rsidRPr="00921943">
        <w:rPr>
          <w:rFonts w:ascii="Bookman Old Style" w:hAnsi="Bookman Old Style" w:cs="Times New Roman"/>
          <w:sz w:val="20"/>
          <w:szCs w:val="20"/>
        </w:rPr>
        <w:t xml:space="preserve"> </w:t>
      </w:r>
      <w:r>
        <w:rPr>
          <w:rFonts w:ascii="Bookman Old Style" w:hAnsi="Bookman Old Style" w:cs="Times New Roman"/>
          <w:sz w:val="20"/>
          <w:szCs w:val="20"/>
        </w:rPr>
        <w:t>contrairement à celle des dépenses de fonctionnement</w:t>
      </w:r>
      <w:r w:rsidRPr="00921943">
        <w:rPr>
          <w:rFonts w:ascii="Bookman Old Style" w:hAnsi="Bookman Old Style" w:cs="Times New Roman"/>
          <w:i/>
          <w:sz w:val="20"/>
          <w:szCs w:val="20"/>
        </w:rPr>
        <w:t xml:space="preserve"> (enc</w:t>
      </w:r>
      <w:r w:rsidRPr="00921943">
        <w:rPr>
          <w:rFonts w:ascii="Bookman Old Style" w:hAnsi="Bookman Old Style" w:cs="Times New Roman"/>
          <w:i/>
          <w:sz w:val="20"/>
          <w:szCs w:val="20"/>
        </w:rPr>
        <w:t>a</w:t>
      </w:r>
      <w:r w:rsidRPr="00921943">
        <w:rPr>
          <w:rFonts w:ascii="Bookman Old Style" w:hAnsi="Bookman Old Style" w:cs="Times New Roman"/>
          <w:i/>
          <w:sz w:val="20"/>
          <w:szCs w:val="20"/>
        </w:rPr>
        <w:t>dré 1)</w:t>
      </w:r>
      <w:r w:rsidR="00A0145C" w:rsidRPr="007A31EE">
        <w:rPr>
          <w:rFonts w:ascii="Bookman Old Style" w:hAnsi="Bookman Old Style" w:cs="Times New Roman"/>
          <w:sz w:val="20"/>
          <w:szCs w:val="20"/>
        </w:rPr>
        <w:t>. Elle est par ailleurs</w:t>
      </w:r>
      <w:r w:rsidR="003731EB" w:rsidRPr="007A31EE">
        <w:rPr>
          <w:rFonts w:ascii="Bookman Old Style" w:hAnsi="Bookman Old Style" w:cs="Times New Roman"/>
          <w:sz w:val="20"/>
          <w:szCs w:val="20"/>
        </w:rPr>
        <w:t xml:space="preserve"> un peu différente dans les deux groupes</w:t>
      </w:r>
      <w:r w:rsidR="004E004B" w:rsidRPr="007A31EE">
        <w:rPr>
          <w:rFonts w:ascii="Bookman Old Style" w:hAnsi="Bookman Old Style" w:cs="Times New Roman"/>
          <w:sz w:val="20"/>
          <w:szCs w:val="20"/>
        </w:rPr>
        <w:t> :</w:t>
      </w:r>
      <w:r w:rsidR="003731EB" w:rsidRPr="007A31EE">
        <w:rPr>
          <w:rFonts w:ascii="Bookman Old Style" w:hAnsi="Bookman Old Style" w:cs="Times New Roman"/>
          <w:sz w:val="20"/>
          <w:szCs w:val="20"/>
        </w:rPr>
        <w:t xml:space="preserve"> les </w:t>
      </w:r>
      <w:r w:rsidR="0039085F" w:rsidRPr="007A31EE">
        <w:rPr>
          <w:rFonts w:ascii="Bookman Old Style" w:hAnsi="Bookman Old Style" w:cs="Times New Roman"/>
          <w:sz w:val="20"/>
          <w:szCs w:val="20"/>
        </w:rPr>
        <w:t xml:space="preserve">régions fusionnées investissent un peu moins en transports et un peu plus en développement économique que les régions inchangées. Les investissements </w:t>
      </w:r>
      <w:r w:rsidR="004E004B" w:rsidRPr="007A31EE">
        <w:rPr>
          <w:rFonts w:ascii="Bookman Old Style" w:hAnsi="Bookman Old Style" w:cs="Times New Roman"/>
          <w:sz w:val="20"/>
          <w:szCs w:val="20"/>
        </w:rPr>
        <w:t>dans</w:t>
      </w:r>
      <w:r w:rsidR="0039085F" w:rsidRPr="007A31EE">
        <w:rPr>
          <w:rFonts w:ascii="Bookman Old Style" w:hAnsi="Bookman Old Style" w:cs="Times New Roman"/>
          <w:sz w:val="20"/>
          <w:szCs w:val="20"/>
        </w:rPr>
        <w:t xml:space="preserve"> l’enseignement (lycées) </w:t>
      </w:r>
      <w:r w:rsidR="004E004B" w:rsidRPr="007A31EE">
        <w:rPr>
          <w:rFonts w:ascii="Bookman Old Style" w:hAnsi="Bookman Old Style" w:cs="Times New Roman"/>
          <w:sz w:val="20"/>
          <w:szCs w:val="20"/>
        </w:rPr>
        <w:t>sont</w:t>
      </w:r>
      <w:r w:rsidR="0039085F" w:rsidRPr="007A31EE">
        <w:rPr>
          <w:rFonts w:ascii="Bookman Old Style" w:hAnsi="Bookman Old Style" w:cs="Times New Roman"/>
          <w:sz w:val="20"/>
          <w:szCs w:val="20"/>
        </w:rPr>
        <w:t xml:space="preserve"> en 2019 presque </w:t>
      </w:r>
      <w:r w:rsidR="0039085F" w:rsidRPr="007A31EE">
        <w:rPr>
          <w:rFonts w:ascii="Bookman Old Style" w:hAnsi="Bookman Old Style" w:cs="Times New Roman"/>
          <w:sz w:val="20"/>
          <w:szCs w:val="20"/>
        </w:rPr>
        <w:lastRenderedPageBreak/>
        <w:t>équivalent</w:t>
      </w:r>
      <w:r w:rsidR="004E004B" w:rsidRPr="007A31EE">
        <w:rPr>
          <w:rFonts w:ascii="Bookman Old Style" w:hAnsi="Bookman Old Style" w:cs="Times New Roman"/>
          <w:sz w:val="20"/>
          <w:szCs w:val="20"/>
        </w:rPr>
        <w:t>s</w:t>
      </w:r>
      <w:r w:rsidR="0039085F" w:rsidRPr="007A31EE">
        <w:rPr>
          <w:rFonts w:ascii="Bookman Old Style" w:hAnsi="Bookman Old Style" w:cs="Times New Roman"/>
          <w:sz w:val="20"/>
          <w:szCs w:val="20"/>
        </w:rPr>
        <w:t xml:space="preserve"> pour les deux groupes (30 %), mais ce</w:t>
      </w:r>
      <w:r w:rsidR="0052565D" w:rsidRPr="007A31EE">
        <w:rPr>
          <w:rFonts w:ascii="Bookman Old Style" w:hAnsi="Bookman Old Style" w:cs="Times New Roman"/>
          <w:sz w:val="20"/>
          <w:szCs w:val="20"/>
        </w:rPr>
        <w:t>la</w:t>
      </w:r>
      <w:r w:rsidR="0039085F" w:rsidRPr="007A31EE">
        <w:rPr>
          <w:rFonts w:ascii="Bookman Old Style" w:hAnsi="Bookman Old Style" w:cs="Times New Roman"/>
          <w:sz w:val="20"/>
          <w:szCs w:val="20"/>
        </w:rPr>
        <w:t xml:space="preserve"> n’a pas été toujours le cas</w:t>
      </w:r>
      <w:r w:rsidR="004E004B" w:rsidRPr="007A31EE">
        <w:rPr>
          <w:rFonts w:ascii="Bookman Old Style" w:hAnsi="Bookman Old Style" w:cs="Times New Roman"/>
          <w:sz w:val="20"/>
          <w:szCs w:val="20"/>
        </w:rPr>
        <w:t> :</w:t>
      </w:r>
      <w:r w:rsidR="0039085F" w:rsidRPr="007A31EE">
        <w:rPr>
          <w:rFonts w:ascii="Bookman Old Style" w:hAnsi="Bookman Old Style" w:cs="Times New Roman"/>
          <w:sz w:val="20"/>
          <w:szCs w:val="20"/>
        </w:rPr>
        <w:t xml:space="preserve"> </w:t>
      </w:r>
      <w:r w:rsidR="004E004B" w:rsidRPr="007A31EE">
        <w:rPr>
          <w:rFonts w:ascii="Bookman Old Style" w:hAnsi="Bookman Old Style" w:cs="Times New Roman"/>
          <w:sz w:val="20"/>
          <w:szCs w:val="20"/>
        </w:rPr>
        <w:t>e</w:t>
      </w:r>
      <w:r w:rsidR="0039085F" w:rsidRPr="007A31EE">
        <w:rPr>
          <w:rFonts w:ascii="Bookman Old Style" w:hAnsi="Bookman Old Style" w:cs="Times New Roman"/>
          <w:sz w:val="20"/>
          <w:szCs w:val="20"/>
        </w:rPr>
        <w:t>n 201</w:t>
      </w:r>
      <w:r w:rsidR="0052565D" w:rsidRPr="007A31EE">
        <w:rPr>
          <w:rFonts w:ascii="Bookman Old Style" w:hAnsi="Bookman Old Style" w:cs="Times New Roman"/>
          <w:sz w:val="20"/>
          <w:szCs w:val="20"/>
        </w:rPr>
        <w:t>5</w:t>
      </w:r>
      <w:r w:rsidR="0039085F" w:rsidRPr="007A31EE">
        <w:rPr>
          <w:rFonts w:ascii="Bookman Old Style" w:hAnsi="Bookman Old Style" w:cs="Times New Roman"/>
          <w:sz w:val="20"/>
          <w:szCs w:val="20"/>
        </w:rPr>
        <w:t xml:space="preserve">, </w:t>
      </w:r>
      <w:r w:rsidR="005A4236">
        <w:rPr>
          <w:rFonts w:ascii="Bookman Old Style" w:hAnsi="Bookman Old Style" w:cs="Times New Roman"/>
          <w:sz w:val="20"/>
          <w:szCs w:val="20"/>
        </w:rPr>
        <w:t>ils</w:t>
      </w:r>
      <w:r w:rsidR="0039085F" w:rsidRPr="007A31EE">
        <w:rPr>
          <w:rFonts w:ascii="Bookman Old Style" w:hAnsi="Bookman Old Style" w:cs="Times New Roman"/>
          <w:sz w:val="20"/>
          <w:szCs w:val="20"/>
        </w:rPr>
        <w:t xml:space="preserve"> représentaient déjà 31 % pour les régions </w:t>
      </w:r>
      <w:r w:rsidR="004E004B" w:rsidRPr="007A31EE">
        <w:rPr>
          <w:rFonts w:ascii="Bookman Old Style" w:hAnsi="Bookman Old Style" w:cs="Times New Roman"/>
          <w:sz w:val="20"/>
          <w:szCs w:val="20"/>
        </w:rPr>
        <w:t>f</w:t>
      </w:r>
      <w:r w:rsidR="004E004B" w:rsidRPr="007A31EE">
        <w:rPr>
          <w:rFonts w:ascii="Bookman Old Style" w:hAnsi="Bookman Old Style" w:cs="Times New Roman"/>
          <w:sz w:val="20"/>
          <w:szCs w:val="20"/>
        </w:rPr>
        <w:t>u</w:t>
      </w:r>
      <w:r w:rsidR="004E004B" w:rsidRPr="007A31EE">
        <w:rPr>
          <w:rFonts w:ascii="Bookman Old Style" w:hAnsi="Bookman Old Style" w:cs="Times New Roman"/>
          <w:sz w:val="20"/>
          <w:szCs w:val="20"/>
        </w:rPr>
        <w:t>sionnées</w:t>
      </w:r>
      <w:r w:rsidR="0039085F" w:rsidRPr="007A31EE">
        <w:rPr>
          <w:rFonts w:ascii="Bookman Old Style" w:hAnsi="Bookman Old Style" w:cs="Times New Roman"/>
          <w:sz w:val="20"/>
          <w:szCs w:val="20"/>
        </w:rPr>
        <w:t>, mais seulement</w:t>
      </w:r>
      <w:r w:rsidR="003731EB" w:rsidRPr="007A31EE">
        <w:rPr>
          <w:rFonts w:ascii="Bookman Old Style" w:hAnsi="Bookman Old Style" w:cs="Times New Roman"/>
          <w:sz w:val="20"/>
          <w:szCs w:val="20"/>
        </w:rPr>
        <w:t xml:space="preserve"> </w:t>
      </w:r>
      <w:r w:rsidR="0039085F" w:rsidRPr="007A31EE">
        <w:rPr>
          <w:rFonts w:ascii="Bookman Old Style" w:hAnsi="Bookman Old Style" w:cs="Times New Roman"/>
          <w:sz w:val="20"/>
          <w:szCs w:val="20"/>
        </w:rPr>
        <w:t>23 % pour le groupe des régions inchangées, qui en contrepartie investissaient plus en aménagement du terr</w:t>
      </w:r>
      <w:r w:rsidR="0039085F" w:rsidRPr="007A31EE">
        <w:rPr>
          <w:rFonts w:ascii="Bookman Old Style" w:hAnsi="Bookman Old Style" w:cs="Times New Roman"/>
          <w:sz w:val="20"/>
          <w:szCs w:val="20"/>
        </w:rPr>
        <w:t>i</w:t>
      </w:r>
      <w:r w:rsidR="0039085F" w:rsidRPr="007A31EE">
        <w:rPr>
          <w:rFonts w:ascii="Bookman Old Style" w:hAnsi="Bookman Old Style" w:cs="Times New Roman"/>
          <w:sz w:val="20"/>
          <w:szCs w:val="20"/>
        </w:rPr>
        <w:t>toire (14 %, contre 11 % pour les régions f</w:t>
      </w:r>
      <w:r w:rsidR="0039085F" w:rsidRPr="007A31EE">
        <w:rPr>
          <w:rFonts w:ascii="Bookman Old Style" w:hAnsi="Bookman Old Style" w:cs="Times New Roman"/>
          <w:sz w:val="20"/>
          <w:szCs w:val="20"/>
        </w:rPr>
        <w:t>u</w:t>
      </w:r>
      <w:r w:rsidR="0039085F" w:rsidRPr="007A31EE">
        <w:rPr>
          <w:rFonts w:ascii="Bookman Old Style" w:hAnsi="Bookman Old Style" w:cs="Times New Roman"/>
          <w:sz w:val="20"/>
          <w:szCs w:val="20"/>
        </w:rPr>
        <w:t>sionnées).</w:t>
      </w:r>
    </w:p>
    <w:p w:rsidR="007A31EE" w:rsidRDefault="007A31EE" w:rsidP="0019237B">
      <w:pPr>
        <w:spacing w:after="0" w:line="240" w:lineRule="auto"/>
        <w:jc w:val="both"/>
        <w:rPr>
          <w:rFonts w:ascii="Bookman Old Style" w:hAnsi="Bookman Old Style" w:cs="Times New Roman"/>
          <w:sz w:val="20"/>
          <w:szCs w:val="20"/>
        </w:rPr>
        <w:sectPr w:rsidR="007A31EE" w:rsidSect="005A4236">
          <w:type w:val="continuous"/>
          <w:pgSz w:w="11906" w:h="16838"/>
          <w:pgMar w:top="907" w:right="907" w:bottom="851" w:left="907" w:header="709" w:footer="454" w:gutter="0"/>
          <w:cols w:num="2" w:space="708"/>
          <w:docGrid w:linePitch="360"/>
        </w:sectPr>
      </w:pPr>
    </w:p>
    <w:p w:rsidR="003731EB" w:rsidRDefault="003731EB" w:rsidP="0019237B">
      <w:pPr>
        <w:spacing w:after="0" w:line="240" w:lineRule="auto"/>
        <w:jc w:val="both"/>
        <w:rPr>
          <w:rFonts w:ascii="Bookman Old Style" w:hAnsi="Bookman Old Style" w:cs="Times New Roman"/>
          <w:sz w:val="20"/>
          <w:szCs w:val="20"/>
        </w:rPr>
      </w:pPr>
    </w:p>
    <w:p w:rsidR="00D44F19" w:rsidRPr="007A31EE" w:rsidRDefault="00D44F19" w:rsidP="005A4236">
      <w:pPr>
        <w:tabs>
          <w:tab w:val="left" w:pos="5954"/>
        </w:tabs>
        <w:spacing w:after="120" w:line="240" w:lineRule="auto"/>
        <w:jc w:val="center"/>
        <w:rPr>
          <w:rFonts w:ascii="Bookman Old Style" w:hAnsi="Bookman Old Style" w:cs="Times New Roman"/>
          <w:sz w:val="20"/>
          <w:szCs w:val="20"/>
        </w:rPr>
      </w:pPr>
      <w:r w:rsidRPr="007A31EE">
        <w:rPr>
          <w:rFonts w:ascii="Bookman Old Style" w:hAnsi="Bookman Old Style" w:cs="Times New Roman"/>
          <w:sz w:val="20"/>
          <w:szCs w:val="20"/>
        </w:rPr>
        <w:t>Graphique 3 - Dépenses d’investissement selon les fonctions de destination (en Md€)</w:t>
      </w:r>
    </w:p>
    <w:p w:rsidR="00D44F19" w:rsidRPr="007A31EE" w:rsidRDefault="00D44F19" w:rsidP="005A4236">
      <w:pPr>
        <w:tabs>
          <w:tab w:val="left" w:pos="5954"/>
        </w:tabs>
        <w:spacing w:after="0" w:line="240" w:lineRule="auto"/>
        <w:ind w:firstLine="851"/>
        <w:rPr>
          <w:rFonts w:ascii="Bookman Old Style" w:hAnsi="Bookman Old Style" w:cs="Times New Roman"/>
          <w:sz w:val="20"/>
          <w:szCs w:val="20"/>
        </w:rPr>
      </w:pPr>
      <w:r w:rsidRPr="007A31EE">
        <w:rPr>
          <w:rFonts w:ascii="Bookman Old Style" w:hAnsi="Bookman Old Style" w:cs="Times New Roman"/>
          <w:sz w:val="20"/>
          <w:szCs w:val="20"/>
        </w:rPr>
        <w:t>Régions fusionnées</w:t>
      </w:r>
      <w:r w:rsidRPr="007A31EE">
        <w:rPr>
          <w:rFonts w:ascii="Bookman Old Style" w:hAnsi="Bookman Old Style" w:cs="Times New Roman"/>
          <w:sz w:val="20"/>
          <w:szCs w:val="20"/>
        </w:rPr>
        <w:tab/>
        <w:t>Régions inchangées</w:t>
      </w:r>
    </w:p>
    <w:p w:rsidR="00D44F19" w:rsidRPr="007A31EE" w:rsidRDefault="00D44F19" w:rsidP="00D44F19">
      <w:pPr>
        <w:jc w:val="both"/>
        <w:rPr>
          <w:rFonts w:ascii="Bookman Old Style" w:hAnsi="Bookman Old Style" w:cs="Times New Roman"/>
          <w:sz w:val="20"/>
          <w:szCs w:val="20"/>
        </w:rPr>
      </w:pPr>
      <w:r w:rsidRPr="007A31EE">
        <w:rPr>
          <w:rFonts w:ascii="Bookman Old Style" w:hAnsi="Bookman Old Style"/>
          <w:noProof/>
          <w:sz w:val="20"/>
          <w:szCs w:val="20"/>
          <w:lang w:eastAsia="fr-FR"/>
        </w:rPr>
        <w:drawing>
          <wp:inline distT="0" distB="0" distL="0" distR="0">
            <wp:extent cx="3240985" cy="2157660"/>
            <wp:effectExtent l="1905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240985" cy="2157660"/>
                    </a:xfrm>
                    <a:prstGeom prst="rect">
                      <a:avLst/>
                    </a:prstGeom>
                    <a:noFill/>
                    <a:ln w="9525">
                      <a:noFill/>
                      <a:miter lim="800000"/>
                      <a:headEnd/>
                      <a:tailEnd/>
                    </a:ln>
                  </pic:spPr>
                </pic:pic>
              </a:graphicData>
            </a:graphic>
          </wp:inline>
        </w:drawing>
      </w:r>
      <w:r w:rsidRPr="007A31EE">
        <w:rPr>
          <w:rFonts w:ascii="Bookman Old Style" w:hAnsi="Bookman Old Style" w:cs="Times New Roman"/>
          <w:sz w:val="20"/>
          <w:szCs w:val="20"/>
        </w:rPr>
        <w:t xml:space="preserve"> </w:t>
      </w:r>
      <w:r w:rsidRPr="007A31EE">
        <w:rPr>
          <w:rFonts w:ascii="Bookman Old Style" w:hAnsi="Bookman Old Style"/>
          <w:noProof/>
          <w:sz w:val="20"/>
          <w:szCs w:val="20"/>
          <w:lang w:eastAsia="fr-FR"/>
        </w:rPr>
        <w:drawing>
          <wp:inline distT="0" distB="0" distL="0" distR="0">
            <wp:extent cx="3267490" cy="2175305"/>
            <wp:effectExtent l="19050" t="0" r="911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270800" cy="2177508"/>
                    </a:xfrm>
                    <a:prstGeom prst="rect">
                      <a:avLst/>
                    </a:prstGeom>
                    <a:noFill/>
                    <a:ln w="9525">
                      <a:noFill/>
                      <a:miter lim="800000"/>
                      <a:headEnd/>
                      <a:tailEnd/>
                    </a:ln>
                  </pic:spPr>
                </pic:pic>
              </a:graphicData>
            </a:graphic>
          </wp:inline>
        </w:drawing>
      </w:r>
    </w:p>
    <w:p w:rsidR="00D44F19" w:rsidRPr="007A31EE" w:rsidRDefault="00D44F19" w:rsidP="00D44F19">
      <w:pPr>
        <w:tabs>
          <w:tab w:val="left" w:pos="5954"/>
        </w:tabs>
        <w:spacing w:after="0" w:line="240" w:lineRule="auto"/>
        <w:jc w:val="center"/>
        <w:rPr>
          <w:rFonts w:ascii="Bookman Old Style" w:hAnsi="Bookman Old Style" w:cs="Times New Roman"/>
          <w:sz w:val="20"/>
          <w:szCs w:val="20"/>
        </w:rPr>
      </w:pPr>
      <w:r w:rsidRPr="007A31EE">
        <w:rPr>
          <w:rFonts w:ascii="Bookman Old Style" w:hAnsi="Bookman Old Style" w:cs="Times New Roman"/>
          <w:sz w:val="20"/>
          <w:szCs w:val="20"/>
        </w:rPr>
        <w:t xml:space="preserve">Graphique 4 - Répartition des dépenses d’investissement </w:t>
      </w:r>
    </w:p>
    <w:p w:rsidR="00D44F19" w:rsidRPr="007A31EE" w:rsidRDefault="00D44F19" w:rsidP="005A4236">
      <w:pPr>
        <w:tabs>
          <w:tab w:val="left" w:pos="5954"/>
        </w:tabs>
        <w:spacing w:after="120" w:line="240" w:lineRule="auto"/>
        <w:jc w:val="center"/>
        <w:rPr>
          <w:rFonts w:ascii="Bookman Old Style" w:hAnsi="Bookman Old Style" w:cs="Times New Roman"/>
          <w:sz w:val="20"/>
          <w:szCs w:val="20"/>
        </w:rPr>
      </w:pPr>
      <w:proofErr w:type="gramStart"/>
      <w:r w:rsidRPr="007A31EE">
        <w:rPr>
          <w:rFonts w:ascii="Bookman Old Style" w:hAnsi="Bookman Old Style" w:cs="Times New Roman"/>
          <w:sz w:val="20"/>
          <w:szCs w:val="20"/>
        </w:rPr>
        <w:t>en</w:t>
      </w:r>
      <w:proofErr w:type="gramEnd"/>
      <w:r w:rsidRPr="007A31EE">
        <w:rPr>
          <w:rFonts w:ascii="Bookman Old Style" w:hAnsi="Bookman Old Style" w:cs="Times New Roman"/>
          <w:sz w:val="20"/>
          <w:szCs w:val="20"/>
        </w:rPr>
        <w:t xml:space="preserve"> % du total hors transports transférés et gestion des fonds européens</w:t>
      </w:r>
    </w:p>
    <w:p w:rsidR="00D44F19" w:rsidRPr="007A31EE" w:rsidRDefault="00D44F19" w:rsidP="005A4236">
      <w:pPr>
        <w:tabs>
          <w:tab w:val="left" w:pos="5954"/>
        </w:tabs>
        <w:spacing w:after="0" w:line="240" w:lineRule="auto"/>
        <w:ind w:firstLine="851"/>
        <w:rPr>
          <w:rFonts w:ascii="Bookman Old Style" w:hAnsi="Bookman Old Style" w:cs="Times New Roman"/>
          <w:sz w:val="20"/>
          <w:szCs w:val="20"/>
        </w:rPr>
      </w:pPr>
      <w:r w:rsidRPr="007A31EE">
        <w:rPr>
          <w:rFonts w:ascii="Bookman Old Style" w:hAnsi="Bookman Old Style" w:cs="Times New Roman"/>
          <w:sz w:val="20"/>
          <w:szCs w:val="20"/>
        </w:rPr>
        <w:t>Régions fusionnées</w:t>
      </w:r>
      <w:r w:rsidRPr="007A31EE">
        <w:rPr>
          <w:rFonts w:ascii="Bookman Old Style" w:hAnsi="Bookman Old Style" w:cs="Times New Roman"/>
          <w:sz w:val="20"/>
          <w:szCs w:val="20"/>
        </w:rPr>
        <w:tab/>
        <w:t>Régions inchangées</w:t>
      </w:r>
    </w:p>
    <w:p w:rsidR="00D44F19" w:rsidRPr="007A31EE" w:rsidRDefault="00D44F19" w:rsidP="00D44F19">
      <w:pPr>
        <w:jc w:val="both"/>
        <w:rPr>
          <w:rFonts w:ascii="Bookman Old Style" w:hAnsi="Bookman Old Style" w:cs="Times New Roman"/>
          <w:sz w:val="20"/>
          <w:szCs w:val="20"/>
        </w:rPr>
      </w:pPr>
      <w:r w:rsidRPr="007A31EE">
        <w:rPr>
          <w:rFonts w:ascii="Bookman Old Style" w:hAnsi="Bookman Old Style"/>
          <w:noProof/>
          <w:sz w:val="20"/>
          <w:szCs w:val="20"/>
          <w:lang w:eastAsia="fr-FR"/>
        </w:rPr>
        <w:drawing>
          <wp:inline distT="0" distB="0" distL="0" distR="0">
            <wp:extent cx="3299791" cy="2196810"/>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304790" cy="2200138"/>
                    </a:xfrm>
                    <a:prstGeom prst="rect">
                      <a:avLst/>
                    </a:prstGeom>
                    <a:noFill/>
                    <a:ln w="9525">
                      <a:noFill/>
                      <a:miter lim="800000"/>
                      <a:headEnd/>
                      <a:tailEnd/>
                    </a:ln>
                  </pic:spPr>
                </pic:pic>
              </a:graphicData>
            </a:graphic>
          </wp:inline>
        </w:drawing>
      </w:r>
      <w:r w:rsidRPr="007A31EE">
        <w:rPr>
          <w:rFonts w:ascii="Bookman Old Style" w:hAnsi="Bookman Old Style" w:cs="Times New Roman"/>
          <w:sz w:val="20"/>
          <w:szCs w:val="20"/>
        </w:rPr>
        <w:t xml:space="preserve"> </w:t>
      </w:r>
      <w:r w:rsidRPr="007A31EE">
        <w:rPr>
          <w:rFonts w:ascii="Bookman Old Style" w:hAnsi="Bookman Old Style"/>
          <w:noProof/>
          <w:sz w:val="20"/>
          <w:szCs w:val="20"/>
          <w:lang w:eastAsia="fr-FR"/>
        </w:rPr>
        <w:drawing>
          <wp:inline distT="0" distB="0" distL="0" distR="0">
            <wp:extent cx="3224752" cy="2146852"/>
            <wp:effectExtent l="1905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224752" cy="2146852"/>
                    </a:xfrm>
                    <a:prstGeom prst="rect">
                      <a:avLst/>
                    </a:prstGeom>
                    <a:noFill/>
                    <a:ln w="9525">
                      <a:noFill/>
                      <a:miter lim="800000"/>
                      <a:headEnd/>
                      <a:tailEnd/>
                    </a:ln>
                  </pic:spPr>
                </pic:pic>
              </a:graphicData>
            </a:graphic>
          </wp:inline>
        </w:drawing>
      </w:r>
    </w:p>
    <w:p w:rsidR="005A4236" w:rsidRDefault="00D44F19" w:rsidP="00D44F19">
      <w:pPr>
        <w:jc w:val="both"/>
        <w:rPr>
          <w:rFonts w:ascii="Bookman Old Style" w:hAnsi="Bookman Old Style" w:cs="Times New Roman"/>
          <w:i/>
          <w:sz w:val="18"/>
          <w:szCs w:val="20"/>
        </w:rPr>
      </w:pPr>
      <w:r w:rsidRPr="005A4236">
        <w:rPr>
          <w:rFonts w:ascii="Bookman Old Style" w:hAnsi="Bookman Old Style" w:cs="Times New Roman"/>
          <w:i/>
          <w:sz w:val="18"/>
          <w:szCs w:val="20"/>
        </w:rPr>
        <w:t>Source : DGCL. Données DGFIP, compte de gestion, budgets principaux et annexes, opérations réelles.</w:t>
      </w:r>
    </w:p>
    <w:p w:rsidR="005A4236" w:rsidRPr="005A4236" w:rsidRDefault="005A4236" w:rsidP="00D44F19">
      <w:pPr>
        <w:jc w:val="both"/>
        <w:rPr>
          <w:rFonts w:ascii="Bookman Old Style" w:hAnsi="Bookman Old Style" w:cs="Times New Roman"/>
          <w:i/>
          <w:sz w:val="18"/>
          <w:szCs w:val="20"/>
        </w:rPr>
      </w:pPr>
    </w:p>
    <w:p w:rsidR="005A4236" w:rsidRPr="005A4236" w:rsidRDefault="005A4236" w:rsidP="00D44F19">
      <w:pPr>
        <w:jc w:val="both"/>
        <w:rPr>
          <w:rFonts w:ascii="Bookman Old Style" w:hAnsi="Bookman Old Style" w:cs="Times New Roman"/>
          <w:i/>
          <w:sz w:val="18"/>
          <w:szCs w:val="20"/>
        </w:rPr>
        <w:sectPr w:rsidR="005A4236" w:rsidRPr="005A4236" w:rsidSect="005A4236">
          <w:type w:val="continuous"/>
          <w:pgSz w:w="11906" w:h="16838"/>
          <w:pgMar w:top="992" w:right="737" w:bottom="992" w:left="737" w:header="709" w:footer="454" w:gutter="0"/>
          <w:cols w:space="708"/>
          <w:docGrid w:linePitch="360"/>
        </w:sectPr>
      </w:pPr>
    </w:p>
    <w:p w:rsidR="005A4236" w:rsidRDefault="005A4236" w:rsidP="004E004B">
      <w:pPr>
        <w:spacing w:after="0" w:line="240" w:lineRule="auto"/>
        <w:jc w:val="both"/>
        <w:rPr>
          <w:rFonts w:ascii="Bookman Old Style" w:hAnsi="Bookman Old Style" w:cs="Times New Roman"/>
          <w:sz w:val="24"/>
        </w:rPr>
      </w:pPr>
      <w:r>
        <w:rPr>
          <w:rFonts w:ascii="Bookman Old Style" w:hAnsi="Bookman Old Style" w:cs="Times New Roman"/>
          <w:b/>
          <w:sz w:val="20"/>
          <w:szCs w:val="20"/>
        </w:rPr>
        <w:lastRenderedPageBreak/>
        <w:t xml:space="preserve">Évolution de l’investissement : </w:t>
      </w:r>
      <w:r w:rsidRPr="007A31EE">
        <w:rPr>
          <w:rFonts w:ascii="Bookman Old Style" w:hAnsi="Bookman Old Style" w:cs="Times New Roman"/>
          <w:b/>
          <w:sz w:val="20"/>
          <w:szCs w:val="20"/>
        </w:rPr>
        <w:t>importantes fluctuations annuelles, parfois dues à des particularités régionales</w:t>
      </w:r>
      <w:r w:rsidRPr="00607DB6">
        <w:rPr>
          <w:rFonts w:ascii="Bookman Old Style" w:hAnsi="Bookman Old Style" w:cs="Times New Roman"/>
          <w:sz w:val="24"/>
        </w:rPr>
        <w:t xml:space="preserve"> </w:t>
      </w:r>
    </w:p>
    <w:p w:rsidR="005A4236" w:rsidRDefault="005A4236" w:rsidP="004E004B">
      <w:pPr>
        <w:spacing w:after="0" w:line="240" w:lineRule="auto"/>
        <w:jc w:val="both"/>
        <w:rPr>
          <w:rFonts w:ascii="Bookman Old Style" w:hAnsi="Bookman Old Style" w:cs="Times New Roman"/>
          <w:sz w:val="24"/>
        </w:rPr>
      </w:pPr>
    </w:p>
    <w:p w:rsidR="005A4236" w:rsidRDefault="004E004B" w:rsidP="005A4236">
      <w:pPr>
        <w:spacing w:after="0" w:line="276" w:lineRule="auto"/>
        <w:jc w:val="both"/>
        <w:rPr>
          <w:rFonts w:ascii="Bookman Old Style" w:hAnsi="Bookman Old Style" w:cs="Times New Roman"/>
          <w:sz w:val="20"/>
          <w:szCs w:val="20"/>
        </w:rPr>
      </w:pPr>
      <w:r w:rsidRPr="005A4236">
        <w:rPr>
          <w:rFonts w:ascii="Bookman Old Style" w:hAnsi="Bookman Old Style" w:cs="Times New Roman"/>
          <w:sz w:val="20"/>
          <w:szCs w:val="20"/>
        </w:rPr>
        <w:t>De 2015 à 2018, les investissements ont baissé pour les deux groupes de régions</w:t>
      </w:r>
      <w:r w:rsidRPr="005A4236">
        <w:rPr>
          <w:rFonts w:ascii="Bookman Old Style" w:hAnsi="Bookman Old Style" w:cs="Times New Roman"/>
          <w:i/>
          <w:sz w:val="20"/>
          <w:szCs w:val="20"/>
        </w:rPr>
        <w:t xml:space="preserve"> (graphique 5)</w:t>
      </w:r>
      <w:r w:rsidRPr="005A4236">
        <w:rPr>
          <w:rFonts w:ascii="Bookman Old Style" w:hAnsi="Bookman Old Style" w:cs="Times New Roman"/>
          <w:sz w:val="20"/>
          <w:szCs w:val="20"/>
        </w:rPr>
        <w:t>. La baisse est moins marquée pour les régions fusionnées (- 5 %) que pour les régions incha</w:t>
      </w:r>
      <w:r w:rsidRPr="005A4236">
        <w:rPr>
          <w:rFonts w:ascii="Bookman Old Style" w:hAnsi="Bookman Old Style" w:cs="Times New Roman"/>
          <w:sz w:val="20"/>
          <w:szCs w:val="20"/>
        </w:rPr>
        <w:t>n</w:t>
      </w:r>
      <w:r w:rsidRPr="005A4236">
        <w:rPr>
          <w:rFonts w:ascii="Bookman Old Style" w:hAnsi="Bookman Old Style" w:cs="Times New Roman"/>
          <w:sz w:val="20"/>
          <w:szCs w:val="20"/>
        </w:rPr>
        <w:t xml:space="preserve">gées (- 10 %). En 2019, l’augmentation très importante des investissements des régions </w:t>
      </w:r>
      <w:r w:rsidRPr="005A4236">
        <w:rPr>
          <w:rFonts w:ascii="Bookman Old Style" w:hAnsi="Bookman Old Style" w:cs="Times New Roman"/>
          <w:sz w:val="20"/>
          <w:szCs w:val="20"/>
        </w:rPr>
        <w:lastRenderedPageBreak/>
        <w:t>fusionnées est liée à la région Normandie, qui a presque doublé ses investissements en mettant en place une nouvelle offre de transport (hors transports transférés). On peut donc difficil</w:t>
      </w:r>
      <w:r w:rsidRPr="005A4236">
        <w:rPr>
          <w:rFonts w:ascii="Bookman Old Style" w:hAnsi="Bookman Old Style" w:cs="Times New Roman"/>
          <w:sz w:val="20"/>
          <w:szCs w:val="20"/>
        </w:rPr>
        <w:t>e</w:t>
      </w:r>
      <w:r w:rsidRPr="005A4236">
        <w:rPr>
          <w:rFonts w:ascii="Bookman Old Style" w:hAnsi="Bookman Old Style" w:cs="Times New Roman"/>
          <w:sz w:val="20"/>
          <w:szCs w:val="20"/>
        </w:rPr>
        <w:t xml:space="preserve">ment conclure </w:t>
      </w:r>
      <w:r w:rsidR="006A1F4F">
        <w:rPr>
          <w:rFonts w:ascii="Bookman Old Style" w:hAnsi="Bookman Old Style" w:cs="Times New Roman"/>
          <w:sz w:val="20"/>
          <w:szCs w:val="20"/>
        </w:rPr>
        <w:t>sur</w:t>
      </w:r>
      <w:r w:rsidRPr="005A4236">
        <w:rPr>
          <w:rFonts w:ascii="Bookman Old Style" w:hAnsi="Bookman Old Style" w:cs="Times New Roman"/>
          <w:sz w:val="20"/>
          <w:szCs w:val="20"/>
        </w:rPr>
        <w:t xml:space="preserve"> la tendance de l’ensemble du groupe des régions fusionnées à dépenser plus que les régions</w:t>
      </w:r>
      <w:r w:rsidR="006A1F4F">
        <w:rPr>
          <w:rFonts w:ascii="Bookman Old Style" w:hAnsi="Bookman Old Style" w:cs="Times New Roman"/>
          <w:sz w:val="20"/>
          <w:szCs w:val="20"/>
        </w:rPr>
        <w:t xml:space="preserve"> inchangées</w:t>
      </w:r>
      <w:r w:rsidRPr="005A4236">
        <w:rPr>
          <w:rFonts w:ascii="Bookman Old Style" w:hAnsi="Bookman Old Style" w:cs="Times New Roman"/>
          <w:sz w:val="20"/>
          <w:szCs w:val="20"/>
        </w:rPr>
        <w:t>.</w:t>
      </w:r>
    </w:p>
    <w:p w:rsidR="006A1F4F" w:rsidRDefault="006A1F4F" w:rsidP="005A4236">
      <w:pPr>
        <w:spacing w:after="0" w:line="276" w:lineRule="auto"/>
        <w:jc w:val="both"/>
        <w:rPr>
          <w:rFonts w:ascii="Bookman Old Style" w:hAnsi="Bookman Old Style" w:cs="Times New Roman"/>
          <w:sz w:val="20"/>
          <w:szCs w:val="20"/>
        </w:rPr>
      </w:pPr>
    </w:p>
    <w:p w:rsidR="005A4236" w:rsidRDefault="005A4236" w:rsidP="004E004B">
      <w:pPr>
        <w:spacing w:after="0" w:line="240" w:lineRule="auto"/>
        <w:jc w:val="both"/>
        <w:rPr>
          <w:rFonts w:ascii="Bookman Old Style" w:hAnsi="Bookman Old Style" w:cs="Times New Roman"/>
          <w:sz w:val="20"/>
          <w:szCs w:val="20"/>
        </w:rPr>
        <w:sectPr w:rsidR="005A4236" w:rsidSect="005A4236">
          <w:type w:val="continuous"/>
          <w:pgSz w:w="11906" w:h="16838"/>
          <w:pgMar w:top="907" w:right="907" w:bottom="851" w:left="907" w:header="709" w:footer="454" w:gutter="0"/>
          <w:cols w:num="2" w:space="708"/>
          <w:docGrid w:linePitch="360"/>
        </w:sectPr>
      </w:pPr>
    </w:p>
    <w:p w:rsidR="006A1F4F" w:rsidRDefault="006A1F4F">
      <w:pPr>
        <w:rPr>
          <w:rFonts w:ascii="Bookman Old Style" w:eastAsia="Times New Roman" w:hAnsi="Bookman Old Style" w:cs="Times New Roman"/>
          <w:sz w:val="20"/>
          <w:szCs w:val="20"/>
          <w:lang w:eastAsia="fr-FR"/>
        </w:rPr>
      </w:pPr>
    </w:p>
    <w:p w:rsidR="00F04672" w:rsidRPr="005A4236" w:rsidRDefault="00F04672" w:rsidP="00B06F54">
      <w:pPr>
        <w:spacing w:after="120" w:line="240" w:lineRule="auto"/>
        <w:jc w:val="center"/>
        <w:rPr>
          <w:rFonts w:ascii="Bookman Old Style" w:eastAsia="Times New Roman" w:hAnsi="Bookman Old Style" w:cs="Times New Roman"/>
          <w:sz w:val="20"/>
          <w:szCs w:val="20"/>
          <w:lang w:eastAsia="fr-FR"/>
        </w:rPr>
      </w:pPr>
      <w:r w:rsidRPr="005A4236">
        <w:rPr>
          <w:rFonts w:ascii="Bookman Old Style" w:eastAsia="Times New Roman" w:hAnsi="Bookman Old Style" w:cs="Times New Roman"/>
          <w:sz w:val="20"/>
          <w:szCs w:val="20"/>
          <w:lang w:eastAsia="fr-FR"/>
        </w:rPr>
        <w:lastRenderedPageBreak/>
        <w:t>Graphique 5 - Évolution des dépenses d’investissement, selon le groupe de régions</w:t>
      </w:r>
    </w:p>
    <w:p w:rsidR="00F04672" w:rsidRPr="005A4236" w:rsidRDefault="00F04672" w:rsidP="00F04672">
      <w:pPr>
        <w:spacing w:after="0" w:line="240" w:lineRule="auto"/>
        <w:jc w:val="center"/>
        <w:rPr>
          <w:rFonts w:ascii="Bookman Old Style" w:eastAsia="Times New Roman" w:hAnsi="Bookman Old Style" w:cs="Times New Roman"/>
          <w:sz w:val="20"/>
          <w:szCs w:val="20"/>
          <w:lang w:eastAsia="fr-FR"/>
        </w:rPr>
        <w:sectPr w:rsidR="00F04672" w:rsidRPr="005A4236" w:rsidSect="005A4236">
          <w:type w:val="continuous"/>
          <w:pgSz w:w="11906" w:h="16838"/>
          <w:pgMar w:top="992" w:right="737" w:bottom="992" w:left="737" w:header="709" w:footer="454" w:gutter="0"/>
          <w:cols w:space="708"/>
          <w:docGrid w:linePitch="360"/>
        </w:sectPr>
      </w:pPr>
    </w:p>
    <w:p w:rsidR="00F04672" w:rsidRPr="005A4236" w:rsidRDefault="00F04672" w:rsidP="00F04672">
      <w:pPr>
        <w:spacing w:after="0" w:line="240" w:lineRule="auto"/>
        <w:jc w:val="center"/>
        <w:rPr>
          <w:rFonts w:ascii="Bookman Old Style" w:eastAsia="Times New Roman" w:hAnsi="Bookman Old Style" w:cs="Times New Roman"/>
          <w:i/>
          <w:sz w:val="20"/>
          <w:szCs w:val="20"/>
          <w:lang w:eastAsia="fr-FR"/>
        </w:rPr>
      </w:pPr>
      <w:r w:rsidRPr="005A4236">
        <w:rPr>
          <w:rFonts w:ascii="Bookman Old Style" w:eastAsia="Times New Roman" w:hAnsi="Bookman Old Style" w:cs="Times New Roman"/>
          <w:i/>
          <w:sz w:val="20"/>
          <w:szCs w:val="20"/>
          <w:lang w:eastAsia="fr-FR"/>
        </w:rPr>
        <w:lastRenderedPageBreak/>
        <w:t xml:space="preserve">Hors transports transférés et </w:t>
      </w:r>
    </w:p>
    <w:p w:rsidR="00F04672" w:rsidRPr="005A4236" w:rsidRDefault="00F04672" w:rsidP="00F04672">
      <w:pPr>
        <w:spacing w:after="0" w:line="240" w:lineRule="auto"/>
        <w:jc w:val="center"/>
        <w:rPr>
          <w:rFonts w:ascii="Bookman Old Style" w:eastAsia="Times New Roman" w:hAnsi="Bookman Old Style" w:cs="Times New Roman"/>
          <w:sz w:val="20"/>
          <w:szCs w:val="20"/>
          <w:lang w:eastAsia="fr-FR"/>
        </w:rPr>
      </w:pPr>
      <w:proofErr w:type="gramStart"/>
      <w:r w:rsidRPr="005A4236">
        <w:rPr>
          <w:rFonts w:ascii="Bookman Old Style" w:eastAsia="Times New Roman" w:hAnsi="Bookman Old Style" w:cs="Times New Roman"/>
          <w:i/>
          <w:sz w:val="20"/>
          <w:szCs w:val="20"/>
          <w:lang w:eastAsia="fr-FR"/>
        </w:rPr>
        <w:t>gestion</w:t>
      </w:r>
      <w:proofErr w:type="gramEnd"/>
      <w:r w:rsidRPr="005A4236">
        <w:rPr>
          <w:rFonts w:ascii="Bookman Old Style" w:eastAsia="Times New Roman" w:hAnsi="Bookman Old Style" w:cs="Times New Roman"/>
          <w:i/>
          <w:sz w:val="20"/>
          <w:szCs w:val="20"/>
          <w:lang w:eastAsia="fr-FR"/>
        </w:rPr>
        <w:t xml:space="preserve"> des fonds européens</w:t>
      </w:r>
    </w:p>
    <w:p w:rsidR="00F04672" w:rsidRPr="005A4236" w:rsidRDefault="00F04672" w:rsidP="00F04672">
      <w:pPr>
        <w:spacing w:after="0" w:line="240" w:lineRule="auto"/>
        <w:jc w:val="center"/>
        <w:rPr>
          <w:rFonts w:ascii="Bookman Old Style" w:eastAsia="Times New Roman" w:hAnsi="Bookman Old Style" w:cs="Times New Roman"/>
          <w:sz w:val="20"/>
          <w:szCs w:val="20"/>
          <w:lang w:eastAsia="fr-FR"/>
        </w:rPr>
      </w:pPr>
      <w:r w:rsidRPr="005A4236">
        <w:rPr>
          <w:rFonts w:ascii="Bookman Old Style" w:hAnsi="Bookman Old Style"/>
          <w:noProof/>
          <w:sz w:val="20"/>
          <w:szCs w:val="20"/>
          <w:lang w:eastAsia="fr-FR"/>
        </w:rPr>
        <w:drawing>
          <wp:inline distT="0" distB="0" distL="0" distR="0">
            <wp:extent cx="2925445" cy="2155991"/>
            <wp:effectExtent l="19050" t="0" r="825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F04672" w:rsidRPr="005A4236" w:rsidRDefault="00F04672" w:rsidP="00F04672">
      <w:pPr>
        <w:spacing w:after="0" w:line="240" w:lineRule="auto"/>
        <w:jc w:val="center"/>
        <w:rPr>
          <w:rFonts w:ascii="Bookman Old Style" w:eastAsia="Times New Roman" w:hAnsi="Bookman Old Style" w:cs="Times New Roman"/>
          <w:i/>
          <w:sz w:val="20"/>
          <w:szCs w:val="20"/>
          <w:lang w:eastAsia="fr-FR"/>
        </w:rPr>
      </w:pPr>
      <w:r w:rsidRPr="005A4236">
        <w:rPr>
          <w:rFonts w:ascii="Bookman Old Style" w:eastAsia="Times New Roman" w:hAnsi="Bookman Old Style" w:cs="Times New Roman"/>
          <w:sz w:val="20"/>
          <w:szCs w:val="20"/>
          <w:lang w:eastAsia="fr-FR"/>
        </w:rPr>
        <w:br w:type="column"/>
      </w:r>
      <w:r w:rsidRPr="005A4236">
        <w:rPr>
          <w:rFonts w:ascii="Bookman Old Style" w:eastAsia="Times New Roman" w:hAnsi="Bookman Old Style" w:cs="Times New Roman"/>
          <w:i/>
          <w:sz w:val="20"/>
          <w:szCs w:val="20"/>
          <w:lang w:eastAsia="fr-FR"/>
        </w:rPr>
        <w:lastRenderedPageBreak/>
        <w:t>Toutes fonctions</w:t>
      </w:r>
    </w:p>
    <w:p w:rsidR="00F04672" w:rsidRPr="005A4236" w:rsidRDefault="00F04672" w:rsidP="00F04672">
      <w:pPr>
        <w:spacing w:after="0" w:line="240" w:lineRule="auto"/>
        <w:jc w:val="center"/>
        <w:rPr>
          <w:rFonts w:ascii="Bookman Old Style" w:eastAsia="Times New Roman" w:hAnsi="Bookman Old Style" w:cs="Times New Roman"/>
          <w:sz w:val="20"/>
          <w:szCs w:val="20"/>
          <w:lang w:eastAsia="fr-FR"/>
        </w:rPr>
      </w:pPr>
    </w:p>
    <w:p w:rsidR="00F04672" w:rsidRPr="005A4236" w:rsidRDefault="00F04672" w:rsidP="00F04672">
      <w:pPr>
        <w:spacing w:after="0" w:line="240" w:lineRule="auto"/>
        <w:jc w:val="both"/>
        <w:rPr>
          <w:rFonts w:ascii="Bookman Old Style" w:eastAsia="Times New Roman" w:hAnsi="Bookman Old Style" w:cs="Times New Roman"/>
          <w:sz w:val="20"/>
          <w:szCs w:val="20"/>
          <w:lang w:eastAsia="fr-FR"/>
        </w:rPr>
      </w:pPr>
      <w:r w:rsidRPr="005A4236">
        <w:rPr>
          <w:rFonts w:ascii="Bookman Old Style" w:hAnsi="Bookman Old Style"/>
          <w:noProof/>
          <w:sz w:val="20"/>
          <w:szCs w:val="20"/>
          <w:lang w:eastAsia="fr-FR"/>
        </w:rPr>
        <w:drawing>
          <wp:inline distT="0" distB="0" distL="0" distR="0">
            <wp:extent cx="2925445" cy="2155991"/>
            <wp:effectExtent l="19050" t="0" r="8255" b="0"/>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925445" cy="2155991"/>
                    </a:xfrm>
                    <a:prstGeom prst="rect">
                      <a:avLst/>
                    </a:prstGeom>
                    <a:noFill/>
                    <a:ln w="9525">
                      <a:noFill/>
                      <a:miter lim="800000"/>
                      <a:headEnd/>
                      <a:tailEnd/>
                    </a:ln>
                  </pic:spPr>
                </pic:pic>
              </a:graphicData>
            </a:graphic>
          </wp:inline>
        </w:drawing>
      </w:r>
    </w:p>
    <w:p w:rsidR="00F04672" w:rsidRPr="005A4236" w:rsidRDefault="00F04672" w:rsidP="00F04672">
      <w:pPr>
        <w:spacing w:after="0" w:line="240" w:lineRule="auto"/>
        <w:jc w:val="both"/>
        <w:rPr>
          <w:rFonts w:ascii="Bookman Old Style" w:hAnsi="Bookman Old Style" w:cs="Times New Roman"/>
          <w:sz w:val="20"/>
          <w:szCs w:val="20"/>
        </w:rPr>
        <w:sectPr w:rsidR="00F04672" w:rsidRPr="005A4236" w:rsidSect="00073A03">
          <w:type w:val="continuous"/>
          <w:pgSz w:w="11906" w:h="16838"/>
          <w:pgMar w:top="992" w:right="992" w:bottom="992" w:left="992" w:header="709" w:footer="709" w:gutter="0"/>
          <w:cols w:num="2" w:space="708"/>
          <w:docGrid w:linePitch="360"/>
        </w:sectPr>
      </w:pPr>
    </w:p>
    <w:p w:rsidR="006A1F4F" w:rsidRDefault="00F04672" w:rsidP="00F04672">
      <w:pPr>
        <w:spacing w:after="0" w:line="240" w:lineRule="auto"/>
        <w:jc w:val="both"/>
        <w:rPr>
          <w:rFonts w:ascii="Bookman Old Style" w:hAnsi="Bookman Old Style" w:cs="Times New Roman"/>
          <w:i/>
          <w:sz w:val="18"/>
          <w:szCs w:val="20"/>
        </w:rPr>
      </w:pPr>
      <w:r w:rsidRPr="005A4236">
        <w:rPr>
          <w:rFonts w:ascii="Bookman Old Style" w:hAnsi="Bookman Old Style" w:cs="Times New Roman"/>
          <w:i/>
          <w:sz w:val="18"/>
          <w:szCs w:val="20"/>
        </w:rPr>
        <w:lastRenderedPageBreak/>
        <w:t>Source : DGCL. Données DGFIP, compte de gestion, budgets principaux et annexes, opérations réelles.</w:t>
      </w:r>
    </w:p>
    <w:p w:rsidR="006A1F4F" w:rsidRDefault="006A1F4F" w:rsidP="00F04672">
      <w:pPr>
        <w:spacing w:after="0" w:line="240" w:lineRule="auto"/>
        <w:jc w:val="both"/>
        <w:rPr>
          <w:rFonts w:ascii="Bookman Old Style" w:hAnsi="Bookman Old Style" w:cs="Times New Roman"/>
          <w:i/>
          <w:sz w:val="18"/>
          <w:szCs w:val="20"/>
        </w:rPr>
        <w:sectPr w:rsidR="006A1F4F" w:rsidSect="0019237B">
          <w:type w:val="continuous"/>
          <w:pgSz w:w="11906" w:h="16838"/>
          <w:pgMar w:top="992" w:right="992" w:bottom="992" w:left="992" w:header="709" w:footer="709" w:gutter="0"/>
          <w:cols w:space="708"/>
          <w:docGrid w:linePitch="360"/>
        </w:sectPr>
      </w:pPr>
    </w:p>
    <w:p w:rsidR="000D39D5" w:rsidRPr="006A1F4F" w:rsidRDefault="000D39D5" w:rsidP="0019237B">
      <w:pPr>
        <w:spacing w:after="0" w:line="240" w:lineRule="auto"/>
        <w:jc w:val="both"/>
        <w:rPr>
          <w:rFonts w:ascii="Bookman Old Style" w:hAnsi="Bookman Old Style" w:cs="Times New Roman"/>
          <w:b/>
          <w:sz w:val="20"/>
          <w:szCs w:val="20"/>
        </w:rPr>
      </w:pPr>
    </w:p>
    <w:p w:rsidR="006A1F4F" w:rsidRDefault="006A1F4F" w:rsidP="0019237B">
      <w:pPr>
        <w:spacing w:after="0" w:line="240" w:lineRule="auto"/>
        <w:jc w:val="both"/>
        <w:rPr>
          <w:rFonts w:ascii="Bookman Old Style" w:hAnsi="Bookman Old Style" w:cs="Times New Roman"/>
          <w:b/>
          <w:sz w:val="20"/>
          <w:szCs w:val="20"/>
        </w:rPr>
      </w:pPr>
    </w:p>
    <w:p w:rsidR="006A1F4F" w:rsidRDefault="006A1F4F" w:rsidP="0019237B">
      <w:pPr>
        <w:spacing w:after="0" w:line="240" w:lineRule="auto"/>
        <w:jc w:val="both"/>
        <w:rPr>
          <w:rFonts w:ascii="Bookman Old Style" w:hAnsi="Bookman Old Style" w:cs="Times New Roman"/>
          <w:b/>
          <w:sz w:val="20"/>
          <w:szCs w:val="20"/>
        </w:rPr>
        <w:sectPr w:rsidR="006A1F4F" w:rsidSect="0019237B">
          <w:type w:val="continuous"/>
          <w:pgSz w:w="11906" w:h="16838"/>
          <w:pgMar w:top="992" w:right="992" w:bottom="992" w:left="992" w:header="709" w:footer="709" w:gutter="0"/>
          <w:cols w:space="708"/>
          <w:docGrid w:linePitch="360"/>
        </w:sectPr>
      </w:pPr>
    </w:p>
    <w:p w:rsidR="00D74307" w:rsidRPr="006A1F4F" w:rsidRDefault="00D74307" w:rsidP="0019237B">
      <w:pPr>
        <w:spacing w:after="0" w:line="240" w:lineRule="auto"/>
        <w:jc w:val="both"/>
        <w:rPr>
          <w:rFonts w:ascii="Bookman Old Style" w:hAnsi="Bookman Old Style" w:cs="Times New Roman"/>
          <w:b/>
          <w:sz w:val="20"/>
          <w:szCs w:val="20"/>
        </w:rPr>
      </w:pPr>
      <w:r w:rsidRPr="006A1F4F">
        <w:rPr>
          <w:rFonts w:ascii="Bookman Old Style" w:hAnsi="Bookman Old Style" w:cs="Times New Roman"/>
          <w:b/>
          <w:sz w:val="20"/>
          <w:szCs w:val="20"/>
        </w:rPr>
        <w:lastRenderedPageBreak/>
        <w:t>Endettement</w:t>
      </w:r>
      <w:r w:rsidR="00BE7021" w:rsidRPr="006A1F4F">
        <w:rPr>
          <w:rFonts w:ascii="Bookman Old Style" w:hAnsi="Bookman Old Style" w:cs="Times New Roman"/>
          <w:b/>
          <w:sz w:val="20"/>
          <w:szCs w:val="20"/>
        </w:rPr>
        <w:t xml:space="preserve"> : assez peu de différences au bout de quatre </w:t>
      </w:r>
      <w:r w:rsidR="006C777E">
        <w:rPr>
          <w:rFonts w:ascii="Bookman Old Style" w:hAnsi="Bookman Old Style" w:cs="Times New Roman"/>
          <w:b/>
          <w:sz w:val="20"/>
          <w:szCs w:val="20"/>
        </w:rPr>
        <w:t xml:space="preserve">ans </w:t>
      </w:r>
      <w:r w:rsidR="00BE7021" w:rsidRPr="006A1F4F">
        <w:rPr>
          <w:rFonts w:ascii="Bookman Old Style" w:hAnsi="Bookman Old Style" w:cs="Times New Roman"/>
          <w:b/>
          <w:sz w:val="20"/>
          <w:szCs w:val="20"/>
        </w:rPr>
        <w:t>entre les deux groupes de régions</w:t>
      </w:r>
      <w:r w:rsidR="006A1F4F">
        <w:rPr>
          <w:rFonts w:ascii="Bookman Old Style" w:hAnsi="Bookman Old Style" w:cs="Times New Roman"/>
          <w:b/>
          <w:sz w:val="20"/>
          <w:szCs w:val="20"/>
        </w:rPr>
        <w:t>…</w:t>
      </w:r>
    </w:p>
    <w:p w:rsidR="00D74307" w:rsidRPr="006A1F4F" w:rsidRDefault="00D74307" w:rsidP="0019237B">
      <w:pPr>
        <w:spacing w:after="0" w:line="240" w:lineRule="auto"/>
        <w:jc w:val="both"/>
        <w:rPr>
          <w:rFonts w:ascii="Bookman Old Style" w:hAnsi="Bookman Old Style" w:cs="Times New Roman"/>
          <w:sz w:val="20"/>
          <w:szCs w:val="20"/>
        </w:rPr>
      </w:pPr>
    </w:p>
    <w:p w:rsidR="00B06F54" w:rsidRDefault="00D74307" w:rsidP="0019237B">
      <w:pPr>
        <w:spacing w:after="0" w:line="240" w:lineRule="auto"/>
        <w:jc w:val="both"/>
        <w:rPr>
          <w:rFonts w:ascii="Bookman Old Style" w:hAnsi="Bookman Old Style" w:cs="Times New Roman"/>
          <w:sz w:val="20"/>
          <w:szCs w:val="20"/>
        </w:rPr>
      </w:pPr>
      <w:r w:rsidRPr="006A1F4F">
        <w:rPr>
          <w:rFonts w:ascii="Bookman Old Style" w:hAnsi="Bookman Old Style" w:cs="Times New Roman"/>
          <w:sz w:val="20"/>
          <w:szCs w:val="20"/>
        </w:rPr>
        <w:t xml:space="preserve">L’encours de </w:t>
      </w:r>
      <w:r w:rsidR="00177F67" w:rsidRPr="006A1F4F">
        <w:rPr>
          <w:rFonts w:ascii="Bookman Old Style" w:hAnsi="Bookman Old Style" w:cs="Times New Roman"/>
          <w:sz w:val="20"/>
          <w:szCs w:val="20"/>
        </w:rPr>
        <w:t xml:space="preserve">la </w:t>
      </w:r>
      <w:r w:rsidRPr="006A1F4F">
        <w:rPr>
          <w:rFonts w:ascii="Bookman Old Style" w:hAnsi="Bookman Old Style" w:cs="Times New Roman"/>
          <w:sz w:val="20"/>
          <w:szCs w:val="20"/>
        </w:rPr>
        <w:t xml:space="preserve">dette des régions entre 2015 et 2019 a augmenté </w:t>
      </w:r>
      <w:r w:rsidR="00F8133B" w:rsidRPr="006A1F4F">
        <w:rPr>
          <w:rFonts w:ascii="Bookman Old Style" w:hAnsi="Bookman Old Style" w:cs="Times New Roman"/>
          <w:sz w:val="20"/>
          <w:szCs w:val="20"/>
        </w:rPr>
        <w:t>de presque</w:t>
      </w:r>
      <w:r w:rsidRPr="006A1F4F">
        <w:rPr>
          <w:rFonts w:ascii="Bookman Old Style" w:hAnsi="Bookman Old Style" w:cs="Times New Roman"/>
          <w:sz w:val="20"/>
          <w:szCs w:val="20"/>
        </w:rPr>
        <w:t xml:space="preserve"> 15 %</w:t>
      </w:r>
      <w:r w:rsidR="004E4342" w:rsidRPr="006A1F4F">
        <w:rPr>
          <w:rFonts w:ascii="Bookman Old Style" w:hAnsi="Bookman Old Style" w:cs="Times New Roman"/>
          <w:sz w:val="20"/>
          <w:szCs w:val="20"/>
        </w:rPr>
        <w:t>,</w:t>
      </w:r>
      <w:r w:rsidRPr="006A1F4F">
        <w:rPr>
          <w:rFonts w:ascii="Bookman Old Style" w:hAnsi="Bookman Old Style" w:cs="Times New Roman"/>
          <w:sz w:val="20"/>
          <w:szCs w:val="20"/>
        </w:rPr>
        <w:t xml:space="preserve"> que ce soit pour les régions fusionnées ou pour l</w:t>
      </w:r>
      <w:r w:rsidR="004E4342" w:rsidRPr="006A1F4F">
        <w:rPr>
          <w:rFonts w:ascii="Bookman Old Style" w:hAnsi="Bookman Old Style" w:cs="Times New Roman"/>
          <w:sz w:val="20"/>
          <w:szCs w:val="20"/>
        </w:rPr>
        <w:t>es i</w:t>
      </w:r>
      <w:r w:rsidR="004E4342" w:rsidRPr="006A1F4F">
        <w:rPr>
          <w:rFonts w:ascii="Bookman Old Style" w:hAnsi="Bookman Old Style" w:cs="Times New Roman"/>
          <w:sz w:val="20"/>
          <w:szCs w:val="20"/>
        </w:rPr>
        <w:t>n</w:t>
      </w:r>
      <w:r w:rsidR="004E4342" w:rsidRPr="006A1F4F">
        <w:rPr>
          <w:rFonts w:ascii="Bookman Old Style" w:hAnsi="Bookman Old Style" w:cs="Times New Roman"/>
          <w:sz w:val="20"/>
          <w:szCs w:val="20"/>
        </w:rPr>
        <w:t xml:space="preserve">changées </w:t>
      </w:r>
      <w:r w:rsidR="004E4342" w:rsidRPr="006A1F4F">
        <w:rPr>
          <w:rFonts w:ascii="Bookman Old Style" w:hAnsi="Bookman Old Style" w:cs="Times New Roman"/>
          <w:i/>
          <w:sz w:val="20"/>
          <w:szCs w:val="20"/>
        </w:rPr>
        <w:t xml:space="preserve">(graphique </w:t>
      </w:r>
      <w:r w:rsidR="00870FDF" w:rsidRPr="006A1F4F">
        <w:rPr>
          <w:rFonts w:ascii="Bookman Old Style" w:hAnsi="Bookman Old Style" w:cs="Times New Roman"/>
          <w:i/>
          <w:sz w:val="20"/>
          <w:szCs w:val="20"/>
        </w:rPr>
        <w:t>6</w:t>
      </w:r>
      <w:r w:rsidRPr="006A1F4F">
        <w:rPr>
          <w:rFonts w:ascii="Bookman Old Style" w:hAnsi="Bookman Old Style" w:cs="Times New Roman"/>
          <w:i/>
          <w:sz w:val="20"/>
          <w:szCs w:val="20"/>
        </w:rPr>
        <w:t>)</w:t>
      </w:r>
      <w:r w:rsidRPr="006A1F4F">
        <w:rPr>
          <w:rFonts w:ascii="Bookman Old Style" w:hAnsi="Bookman Old Style" w:cs="Times New Roman"/>
          <w:sz w:val="20"/>
          <w:szCs w:val="20"/>
        </w:rPr>
        <w:t>. Les trajectoires pa</w:t>
      </w:r>
      <w:r w:rsidRPr="006A1F4F">
        <w:rPr>
          <w:rFonts w:ascii="Bookman Old Style" w:hAnsi="Bookman Old Style" w:cs="Times New Roman"/>
          <w:sz w:val="20"/>
          <w:szCs w:val="20"/>
        </w:rPr>
        <w:t>r</w:t>
      </w:r>
      <w:r w:rsidRPr="006A1F4F">
        <w:rPr>
          <w:rFonts w:ascii="Bookman Old Style" w:hAnsi="Bookman Old Style" w:cs="Times New Roman"/>
          <w:sz w:val="20"/>
          <w:szCs w:val="20"/>
        </w:rPr>
        <w:t xml:space="preserve">courues pour aboutir à ce résultat </w:t>
      </w:r>
      <w:r w:rsidR="00F8133B" w:rsidRPr="006A1F4F">
        <w:rPr>
          <w:rFonts w:ascii="Bookman Old Style" w:hAnsi="Bookman Old Style" w:cs="Times New Roman"/>
          <w:sz w:val="20"/>
          <w:szCs w:val="20"/>
        </w:rPr>
        <w:t xml:space="preserve">presque </w:t>
      </w:r>
      <w:r w:rsidRPr="006A1F4F">
        <w:rPr>
          <w:rFonts w:ascii="Bookman Old Style" w:hAnsi="Bookman Old Style" w:cs="Times New Roman"/>
          <w:sz w:val="20"/>
          <w:szCs w:val="20"/>
        </w:rPr>
        <w:t>identique ne sont pourtant pas les mêmes pour les deux groupes</w:t>
      </w:r>
      <w:r w:rsidR="00870FDF" w:rsidRPr="006A1F4F">
        <w:rPr>
          <w:rFonts w:ascii="Bookman Old Style" w:hAnsi="Bookman Old Style" w:cs="Times New Roman"/>
          <w:sz w:val="20"/>
          <w:szCs w:val="20"/>
        </w:rPr>
        <w:t>.</w:t>
      </w:r>
      <w:r w:rsidRPr="006A1F4F">
        <w:rPr>
          <w:rFonts w:ascii="Bookman Old Style" w:hAnsi="Bookman Old Style" w:cs="Times New Roman"/>
          <w:sz w:val="20"/>
          <w:szCs w:val="20"/>
        </w:rPr>
        <w:t xml:space="preserve"> </w:t>
      </w:r>
    </w:p>
    <w:p w:rsidR="00B06F54" w:rsidRDefault="00D74307" w:rsidP="0019237B">
      <w:pPr>
        <w:spacing w:after="0" w:line="240" w:lineRule="auto"/>
        <w:jc w:val="both"/>
        <w:rPr>
          <w:rFonts w:ascii="Bookman Old Style" w:hAnsi="Bookman Old Style" w:cs="Times New Roman"/>
          <w:sz w:val="20"/>
          <w:szCs w:val="20"/>
        </w:rPr>
      </w:pPr>
      <w:r w:rsidRPr="006A1F4F">
        <w:rPr>
          <w:rFonts w:ascii="Bookman Old Style" w:hAnsi="Bookman Old Style" w:cs="Times New Roman"/>
          <w:sz w:val="20"/>
          <w:szCs w:val="20"/>
        </w:rPr>
        <w:t xml:space="preserve">Dans le groupe des régions fusionnées, l’augmentation </w:t>
      </w:r>
      <w:r w:rsidR="00870FDF" w:rsidRPr="006A1F4F">
        <w:rPr>
          <w:rFonts w:ascii="Bookman Old Style" w:hAnsi="Bookman Old Style" w:cs="Times New Roman"/>
          <w:sz w:val="20"/>
          <w:szCs w:val="20"/>
        </w:rPr>
        <w:t>de l’endettement</w:t>
      </w:r>
      <w:r w:rsidR="006F1AAF" w:rsidRPr="006A1F4F">
        <w:rPr>
          <w:rFonts w:ascii="Bookman Old Style" w:hAnsi="Bookman Old Style" w:cs="Times New Roman"/>
          <w:sz w:val="20"/>
          <w:szCs w:val="20"/>
        </w:rPr>
        <w:t xml:space="preserve"> </w:t>
      </w:r>
      <w:r w:rsidRPr="006A1F4F">
        <w:rPr>
          <w:rFonts w:ascii="Bookman Old Style" w:hAnsi="Bookman Old Style" w:cs="Times New Roman"/>
          <w:sz w:val="20"/>
          <w:szCs w:val="20"/>
        </w:rPr>
        <w:t xml:space="preserve">a </w:t>
      </w:r>
      <w:r w:rsidR="006F1AAF" w:rsidRPr="006A1F4F">
        <w:rPr>
          <w:rFonts w:ascii="Bookman Old Style" w:hAnsi="Bookman Old Style" w:cs="Times New Roman"/>
          <w:sz w:val="20"/>
          <w:szCs w:val="20"/>
        </w:rPr>
        <w:t>ralenti</w:t>
      </w:r>
      <w:r w:rsidRPr="006A1F4F">
        <w:rPr>
          <w:rFonts w:ascii="Bookman Old Style" w:hAnsi="Bookman Old Style" w:cs="Times New Roman"/>
          <w:sz w:val="20"/>
          <w:szCs w:val="20"/>
        </w:rPr>
        <w:t xml:space="preserve"> en 2017, puis a été </w:t>
      </w:r>
      <w:r w:rsidR="00B06F54">
        <w:rPr>
          <w:rFonts w:ascii="Bookman Old Style" w:hAnsi="Bookman Old Style" w:cs="Times New Roman"/>
          <w:sz w:val="20"/>
          <w:szCs w:val="20"/>
        </w:rPr>
        <w:t>assez</w:t>
      </w:r>
      <w:r w:rsidRPr="006A1F4F">
        <w:rPr>
          <w:rFonts w:ascii="Bookman Old Style" w:hAnsi="Bookman Old Style" w:cs="Times New Roman"/>
          <w:sz w:val="20"/>
          <w:szCs w:val="20"/>
        </w:rPr>
        <w:t xml:space="preserve"> régulière</w:t>
      </w:r>
      <w:r w:rsidR="006F1AAF" w:rsidRPr="006A1F4F">
        <w:rPr>
          <w:rFonts w:ascii="Bookman Old Style" w:hAnsi="Bookman Old Style" w:cs="Times New Roman"/>
          <w:sz w:val="20"/>
          <w:szCs w:val="20"/>
        </w:rPr>
        <w:t>.</w:t>
      </w:r>
      <w:r w:rsidR="00B06F54">
        <w:rPr>
          <w:rFonts w:ascii="Bookman Old Style" w:hAnsi="Bookman Old Style" w:cs="Times New Roman"/>
          <w:sz w:val="20"/>
          <w:szCs w:val="20"/>
        </w:rPr>
        <w:t xml:space="preserve"> </w:t>
      </w:r>
      <w:r w:rsidR="006F1AAF" w:rsidRPr="006A1F4F">
        <w:rPr>
          <w:rFonts w:ascii="Bookman Old Style" w:hAnsi="Bookman Old Style" w:cs="Times New Roman"/>
          <w:sz w:val="20"/>
          <w:szCs w:val="20"/>
        </w:rPr>
        <w:t>La forte au</w:t>
      </w:r>
      <w:r w:rsidR="006F1AAF" w:rsidRPr="006A1F4F">
        <w:rPr>
          <w:rFonts w:ascii="Bookman Old Style" w:hAnsi="Bookman Old Style" w:cs="Times New Roman"/>
          <w:sz w:val="20"/>
          <w:szCs w:val="20"/>
        </w:rPr>
        <w:t>g</w:t>
      </w:r>
      <w:r w:rsidR="006F1AAF" w:rsidRPr="006A1F4F">
        <w:rPr>
          <w:rFonts w:ascii="Bookman Old Style" w:hAnsi="Bookman Old Style" w:cs="Times New Roman"/>
          <w:sz w:val="20"/>
          <w:szCs w:val="20"/>
        </w:rPr>
        <w:t>mentation de</w:t>
      </w:r>
      <w:r w:rsidR="00B06F54">
        <w:rPr>
          <w:rFonts w:ascii="Bookman Old Style" w:hAnsi="Bookman Old Style" w:cs="Times New Roman"/>
          <w:sz w:val="20"/>
          <w:szCs w:val="20"/>
        </w:rPr>
        <w:t xml:space="preserve"> leur</w:t>
      </w:r>
      <w:r w:rsidR="006F1AAF" w:rsidRPr="006A1F4F">
        <w:rPr>
          <w:rFonts w:ascii="Bookman Old Style" w:hAnsi="Bookman Old Style" w:cs="Times New Roman"/>
          <w:sz w:val="20"/>
          <w:szCs w:val="20"/>
        </w:rPr>
        <w:t xml:space="preserve">s investissements </w:t>
      </w:r>
      <w:r w:rsidR="00B06F54">
        <w:rPr>
          <w:rFonts w:ascii="Bookman Old Style" w:hAnsi="Bookman Old Style" w:cs="Times New Roman"/>
          <w:sz w:val="20"/>
          <w:szCs w:val="20"/>
        </w:rPr>
        <w:t>en</w:t>
      </w:r>
      <w:r w:rsidR="006F1AAF" w:rsidRPr="006A1F4F">
        <w:rPr>
          <w:rFonts w:ascii="Bookman Old Style" w:hAnsi="Bookman Old Style" w:cs="Times New Roman"/>
          <w:sz w:val="20"/>
          <w:szCs w:val="20"/>
        </w:rPr>
        <w:t xml:space="preserve"> 2019 a été financé</w:t>
      </w:r>
      <w:r w:rsidR="00427098" w:rsidRPr="006A1F4F">
        <w:rPr>
          <w:rFonts w:ascii="Bookman Old Style" w:hAnsi="Bookman Old Style" w:cs="Times New Roman"/>
          <w:sz w:val="20"/>
          <w:szCs w:val="20"/>
        </w:rPr>
        <w:t>e</w:t>
      </w:r>
      <w:r w:rsidR="006F1AAF" w:rsidRPr="006A1F4F">
        <w:rPr>
          <w:rFonts w:ascii="Bookman Old Style" w:hAnsi="Bookman Old Style" w:cs="Times New Roman"/>
          <w:sz w:val="20"/>
          <w:szCs w:val="20"/>
        </w:rPr>
        <w:t xml:space="preserve"> par l’emprunt, ce qui a empêché la dette de se réduire. </w:t>
      </w:r>
    </w:p>
    <w:p w:rsidR="004E4342" w:rsidRPr="006A1F4F" w:rsidRDefault="006F1AAF" w:rsidP="0019237B">
      <w:pPr>
        <w:spacing w:after="0" w:line="240" w:lineRule="auto"/>
        <w:jc w:val="both"/>
        <w:rPr>
          <w:rFonts w:ascii="Bookman Old Style" w:hAnsi="Bookman Old Style" w:cs="Times New Roman"/>
          <w:sz w:val="20"/>
          <w:szCs w:val="20"/>
        </w:rPr>
      </w:pPr>
      <w:r w:rsidRPr="006A1F4F">
        <w:rPr>
          <w:rFonts w:ascii="Bookman Old Style" w:hAnsi="Bookman Old Style" w:cs="Times New Roman"/>
          <w:sz w:val="20"/>
          <w:szCs w:val="20"/>
        </w:rPr>
        <w:t>D</w:t>
      </w:r>
      <w:r w:rsidR="00D74307" w:rsidRPr="006A1F4F">
        <w:rPr>
          <w:rFonts w:ascii="Bookman Old Style" w:hAnsi="Bookman Old Style" w:cs="Times New Roman"/>
          <w:sz w:val="20"/>
          <w:szCs w:val="20"/>
        </w:rPr>
        <w:t xml:space="preserve">ans </w:t>
      </w:r>
      <w:r w:rsidRPr="006A1F4F">
        <w:rPr>
          <w:rFonts w:ascii="Bookman Old Style" w:hAnsi="Bookman Old Style" w:cs="Times New Roman"/>
          <w:sz w:val="20"/>
          <w:szCs w:val="20"/>
        </w:rPr>
        <w:t>le groupe</w:t>
      </w:r>
      <w:r w:rsidR="00D74307" w:rsidRPr="006A1F4F">
        <w:rPr>
          <w:rFonts w:ascii="Bookman Old Style" w:hAnsi="Bookman Old Style" w:cs="Times New Roman"/>
          <w:sz w:val="20"/>
          <w:szCs w:val="20"/>
        </w:rPr>
        <w:t xml:space="preserve"> des régions inchangées</w:t>
      </w:r>
      <w:r w:rsidRPr="006A1F4F">
        <w:rPr>
          <w:rFonts w:ascii="Bookman Old Style" w:hAnsi="Bookman Old Style" w:cs="Times New Roman"/>
          <w:sz w:val="20"/>
          <w:szCs w:val="20"/>
        </w:rPr>
        <w:t xml:space="preserve"> en r</w:t>
      </w:r>
      <w:r w:rsidRPr="006A1F4F">
        <w:rPr>
          <w:rFonts w:ascii="Bookman Old Style" w:hAnsi="Bookman Old Style" w:cs="Times New Roman"/>
          <w:sz w:val="20"/>
          <w:szCs w:val="20"/>
        </w:rPr>
        <w:t>e</w:t>
      </w:r>
      <w:r w:rsidRPr="006A1F4F">
        <w:rPr>
          <w:rFonts w:ascii="Bookman Old Style" w:hAnsi="Bookman Old Style" w:cs="Times New Roman"/>
          <w:sz w:val="20"/>
          <w:szCs w:val="20"/>
        </w:rPr>
        <w:t>vanche</w:t>
      </w:r>
      <w:r w:rsidR="00D74307" w:rsidRPr="006A1F4F">
        <w:rPr>
          <w:rFonts w:ascii="Bookman Old Style" w:hAnsi="Bookman Old Style" w:cs="Times New Roman"/>
          <w:sz w:val="20"/>
          <w:szCs w:val="20"/>
        </w:rPr>
        <w:t xml:space="preserve">, l’augmentation </w:t>
      </w:r>
      <w:r w:rsidRPr="006A1F4F">
        <w:rPr>
          <w:rFonts w:ascii="Bookman Old Style" w:hAnsi="Bookman Old Style" w:cs="Times New Roman"/>
          <w:sz w:val="20"/>
          <w:szCs w:val="20"/>
        </w:rPr>
        <w:t xml:space="preserve">de la dette </w:t>
      </w:r>
      <w:r w:rsidR="00D74307" w:rsidRPr="006A1F4F">
        <w:rPr>
          <w:rFonts w:ascii="Bookman Old Style" w:hAnsi="Bookman Old Style" w:cs="Times New Roman"/>
          <w:sz w:val="20"/>
          <w:szCs w:val="20"/>
        </w:rPr>
        <w:t xml:space="preserve">a été vive </w:t>
      </w:r>
      <w:r w:rsidR="00B06F54">
        <w:rPr>
          <w:rFonts w:ascii="Bookman Old Style" w:hAnsi="Bookman Old Style" w:cs="Times New Roman"/>
          <w:sz w:val="20"/>
          <w:szCs w:val="20"/>
        </w:rPr>
        <w:t>jusqu’en 2018</w:t>
      </w:r>
      <w:r w:rsidR="00D74307" w:rsidRPr="006A1F4F">
        <w:rPr>
          <w:rFonts w:ascii="Bookman Old Style" w:hAnsi="Bookman Old Style" w:cs="Times New Roman"/>
          <w:sz w:val="20"/>
          <w:szCs w:val="20"/>
        </w:rPr>
        <w:t xml:space="preserve">, </w:t>
      </w:r>
      <w:r w:rsidR="00F8133B" w:rsidRPr="006A1F4F">
        <w:rPr>
          <w:rFonts w:ascii="Bookman Old Style" w:hAnsi="Bookman Old Style" w:cs="Times New Roman"/>
          <w:sz w:val="20"/>
          <w:szCs w:val="20"/>
        </w:rPr>
        <w:t>puis</w:t>
      </w:r>
      <w:r w:rsidR="00D74307" w:rsidRPr="006A1F4F">
        <w:rPr>
          <w:rFonts w:ascii="Bookman Old Style" w:hAnsi="Bookman Old Style" w:cs="Times New Roman"/>
          <w:sz w:val="20"/>
          <w:szCs w:val="20"/>
        </w:rPr>
        <w:t xml:space="preserve"> a reculé</w:t>
      </w:r>
      <w:r w:rsidR="00F8133B" w:rsidRPr="006A1F4F">
        <w:rPr>
          <w:rFonts w:ascii="Bookman Old Style" w:hAnsi="Bookman Old Style" w:cs="Times New Roman"/>
          <w:sz w:val="20"/>
          <w:szCs w:val="20"/>
        </w:rPr>
        <w:t xml:space="preserve"> en 2019</w:t>
      </w:r>
      <w:r w:rsidRPr="006A1F4F">
        <w:rPr>
          <w:rFonts w:ascii="Bookman Old Style" w:hAnsi="Bookman Old Style" w:cs="Times New Roman"/>
          <w:sz w:val="20"/>
          <w:szCs w:val="20"/>
        </w:rPr>
        <w:t>, du fait de la réduction drastique de leurs emprunts</w:t>
      </w:r>
      <w:r w:rsidR="00D74307" w:rsidRPr="006A1F4F">
        <w:rPr>
          <w:rFonts w:ascii="Bookman Old Style" w:hAnsi="Bookman Old Style" w:cs="Times New Roman"/>
          <w:sz w:val="20"/>
          <w:szCs w:val="20"/>
        </w:rPr>
        <w:t xml:space="preserve">. </w:t>
      </w:r>
    </w:p>
    <w:p w:rsidR="00427098" w:rsidRPr="006A1F4F" w:rsidRDefault="00427098" w:rsidP="0019237B">
      <w:pPr>
        <w:spacing w:after="0" w:line="240" w:lineRule="auto"/>
        <w:jc w:val="both"/>
        <w:rPr>
          <w:rFonts w:ascii="Bookman Old Style" w:hAnsi="Bookman Old Style" w:cs="Times New Roman"/>
          <w:sz w:val="20"/>
          <w:szCs w:val="20"/>
        </w:rPr>
      </w:pPr>
    </w:p>
    <w:p w:rsidR="00D74307" w:rsidRPr="006A1F4F" w:rsidRDefault="00026767" w:rsidP="004C6A07">
      <w:pPr>
        <w:spacing w:after="0" w:line="240" w:lineRule="auto"/>
        <w:jc w:val="center"/>
        <w:rPr>
          <w:rFonts w:ascii="Bookman Old Style" w:hAnsi="Bookman Old Style" w:cs="Times New Roman"/>
          <w:sz w:val="20"/>
          <w:szCs w:val="20"/>
        </w:rPr>
      </w:pPr>
      <w:r w:rsidRPr="006A1F4F">
        <w:rPr>
          <w:rFonts w:ascii="Bookman Old Style" w:hAnsi="Bookman Old Style" w:cs="Times New Roman"/>
          <w:sz w:val="20"/>
          <w:szCs w:val="20"/>
        </w:rPr>
        <w:t xml:space="preserve">Graphique </w:t>
      </w:r>
      <w:r w:rsidR="00870FDF" w:rsidRPr="006A1F4F">
        <w:rPr>
          <w:rFonts w:ascii="Bookman Old Style" w:hAnsi="Bookman Old Style" w:cs="Times New Roman"/>
          <w:sz w:val="20"/>
          <w:szCs w:val="20"/>
        </w:rPr>
        <w:t>6</w:t>
      </w:r>
      <w:r w:rsidR="00D74307" w:rsidRPr="006A1F4F">
        <w:rPr>
          <w:rFonts w:ascii="Bookman Old Style" w:hAnsi="Bookman Old Style" w:cs="Times New Roman"/>
          <w:sz w:val="20"/>
          <w:szCs w:val="20"/>
        </w:rPr>
        <w:t xml:space="preserve"> - Encours de dette</w:t>
      </w:r>
      <w:r w:rsidR="00C85B19" w:rsidRPr="006A1F4F">
        <w:rPr>
          <w:rFonts w:ascii="Bookman Old Style" w:hAnsi="Bookman Old Style" w:cs="Times New Roman"/>
          <w:sz w:val="20"/>
          <w:szCs w:val="20"/>
        </w:rPr>
        <w:t xml:space="preserve"> selon le </w:t>
      </w:r>
      <w:r w:rsidR="0008736D">
        <w:rPr>
          <w:rFonts w:ascii="Bookman Old Style" w:hAnsi="Bookman Old Style" w:cs="Times New Roman"/>
          <w:sz w:val="20"/>
          <w:szCs w:val="20"/>
        </w:rPr>
        <w:t>groupe</w:t>
      </w:r>
      <w:r w:rsidR="00C85B19" w:rsidRPr="006A1F4F">
        <w:rPr>
          <w:rFonts w:ascii="Bookman Old Style" w:hAnsi="Bookman Old Style" w:cs="Times New Roman"/>
          <w:sz w:val="20"/>
          <w:szCs w:val="20"/>
        </w:rPr>
        <w:t xml:space="preserve"> de région</w:t>
      </w:r>
    </w:p>
    <w:p w:rsidR="00D74307" w:rsidRPr="006A1F4F" w:rsidRDefault="00F8133B" w:rsidP="0019237B">
      <w:pPr>
        <w:spacing w:after="0" w:line="240" w:lineRule="auto"/>
        <w:jc w:val="both"/>
        <w:rPr>
          <w:rFonts w:ascii="Bookman Old Style" w:hAnsi="Bookman Old Style" w:cs="Times New Roman"/>
          <w:sz w:val="20"/>
          <w:szCs w:val="20"/>
        </w:rPr>
      </w:pPr>
      <w:r w:rsidRPr="006A1F4F">
        <w:rPr>
          <w:rFonts w:ascii="Bookman Old Style" w:hAnsi="Bookman Old Style"/>
          <w:noProof/>
          <w:sz w:val="20"/>
          <w:szCs w:val="20"/>
          <w:lang w:eastAsia="fr-FR"/>
        </w:rPr>
        <w:drawing>
          <wp:inline distT="0" distB="0" distL="0" distR="0">
            <wp:extent cx="3056899" cy="225287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61016" cy="2255904"/>
                    </a:xfrm>
                    <a:prstGeom prst="rect">
                      <a:avLst/>
                    </a:prstGeom>
                    <a:noFill/>
                    <a:ln w="9525">
                      <a:noFill/>
                      <a:miter lim="800000"/>
                      <a:headEnd/>
                      <a:tailEnd/>
                    </a:ln>
                  </pic:spPr>
                </pic:pic>
              </a:graphicData>
            </a:graphic>
          </wp:inline>
        </w:drawing>
      </w:r>
    </w:p>
    <w:p w:rsidR="00257D67" w:rsidRPr="006A1F4F" w:rsidRDefault="00257D67" w:rsidP="00257D67">
      <w:pPr>
        <w:spacing w:after="0" w:line="240" w:lineRule="auto"/>
        <w:jc w:val="both"/>
        <w:rPr>
          <w:rFonts w:ascii="Bookman Old Style" w:hAnsi="Bookman Old Style" w:cs="Times New Roman"/>
          <w:sz w:val="18"/>
          <w:szCs w:val="20"/>
        </w:rPr>
      </w:pPr>
      <w:r w:rsidRPr="006A1F4F">
        <w:rPr>
          <w:rFonts w:ascii="Bookman Old Style" w:hAnsi="Bookman Old Style" w:cs="Times New Roman"/>
          <w:i/>
          <w:sz w:val="18"/>
          <w:szCs w:val="20"/>
        </w:rPr>
        <w:t>Source : DGCL. Données DGFIP, compte de gestion, budgets principaux et annexes, opérations réelles.</w:t>
      </w:r>
    </w:p>
    <w:p w:rsidR="006A1F4F" w:rsidRPr="006A1F4F" w:rsidRDefault="006A1F4F" w:rsidP="0019237B">
      <w:pPr>
        <w:spacing w:after="0" w:line="240" w:lineRule="auto"/>
        <w:jc w:val="both"/>
        <w:rPr>
          <w:rFonts w:ascii="Bookman Old Style" w:hAnsi="Bookman Old Style" w:cs="Times New Roman"/>
          <w:b/>
          <w:sz w:val="20"/>
          <w:szCs w:val="20"/>
        </w:rPr>
      </w:pPr>
      <w:r w:rsidRPr="006A1F4F">
        <w:rPr>
          <w:rFonts w:ascii="Bookman Old Style" w:hAnsi="Bookman Old Style" w:cs="Times New Roman"/>
          <w:b/>
          <w:sz w:val="20"/>
          <w:szCs w:val="20"/>
        </w:rPr>
        <w:lastRenderedPageBreak/>
        <w:t xml:space="preserve">… mais </w:t>
      </w:r>
      <w:r>
        <w:rPr>
          <w:rFonts w:ascii="Bookman Old Style" w:hAnsi="Bookman Old Style" w:cs="Times New Roman"/>
          <w:b/>
          <w:sz w:val="20"/>
          <w:szCs w:val="20"/>
        </w:rPr>
        <w:t xml:space="preserve">avec </w:t>
      </w:r>
      <w:r w:rsidRPr="006A1F4F">
        <w:rPr>
          <w:rFonts w:ascii="Bookman Old Style" w:hAnsi="Bookman Old Style" w:cs="Times New Roman"/>
          <w:b/>
          <w:sz w:val="20"/>
          <w:szCs w:val="20"/>
        </w:rPr>
        <w:t>des trajectoires différentes</w:t>
      </w:r>
      <w:r>
        <w:rPr>
          <w:rFonts w:ascii="Bookman Old Style" w:hAnsi="Bookman Old Style" w:cs="Times New Roman"/>
          <w:b/>
          <w:sz w:val="20"/>
          <w:szCs w:val="20"/>
        </w:rPr>
        <w:t xml:space="preserve"> pour aboutir à cette convergence</w:t>
      </w:r>
    </w:p>
    <w:p w:rsidR="006A1F4F" w:rsidRDefault="006A1F4F" w:rsidP="0019237B">
      <w:pPr>
        <w:spacing w:after="0" w:line="240" w:lineRule="auto"/>
        <w:jc w:val="both"/>
        <w:rPr>
          <w:rFonts w:ascii="Bookman Old Style" w:hAnsi="Bookman Old Style" w:cs="Times New Roman"/>
          <w:sz w:val="20"/>
          <w:szCs w:val="20"/>
        </w:rPr>
      </w:pPr>
    </w:p>
    <w:p w:rsidR="00257D67" w:rsidRPr="006A1F4F" w:rsidRDefault="00F8133B" w:rsidP="0019237B">
      <w:pPr>
        <w:spacing w:after="0" w:line="240" w:lineRule="auto"/>
        <w:jc w:val="both"/>
        <w:rPr>
          <w:rFonts w:ascii="Bookman Old Style" w:hAnsi="Bookman Old Style" w:cs="Times New Roman"/>
          <w:sz w:val="20"/>
          <w:szCs w:val="20"/>
        </w:rPr>
      </w:pPr>
      <w:r w:rsidRPr="006A1F4F">
        <w:rPr>
          <w:rFonts w:ascii="Bookman Old Style" w:hAnsi="Bookman Old Style" w:cs="Times New Roman"/>
          <w:sz w:val="20"/>
          <w:szCs w:val="20"/>
        </w:rPr>
        <w:t>L’encours de dette, rapporté</w:t>
      </w:r>
      <w:r w:rsidR="006F1AAF" w:rsidRPr="006A1F4F">
        <w:rPr>
          <w:rFonts w:ascii="Bookman Old Style" w:hAnsi="Bookman Old Style" w:cs="Times New Roman"/>
          <w:sz w:val="20"/>
          <w:szCs w:val="20"/>
        </w:rPr>
        <w:t xml:space="preserve"> à</w:t>
      </w:r>
      <w:r w:rsidRPr="006A1F4F">
        <w:rPr>
          <w:rFonts w:ascii="Bookman Old Style" w:hAnsi="Bookman Old Style" w:cs="Times New Roman"/>
          <w:sz w:val="20"/>
          <w:szCs w:val="20"/>
        </w:rPr>
        <w:t xml:space="preserve"> l’épargne brute, fournit un indicateur d’aisance financière, exprimé en années. Le délai de désendett</w:t>
      </w:r>
      <w:r w:rsidRPr="006A1F4F">
        <w:rPr>
          <w:rFonts w:ascii="Bookman Old Style" w:hAnsi="Bookman Old Style" w:cs="Times New Roman"/>
          <w:sz w:val="20"/>
          <w:szCs w:val="20"/>
        </w:rPr>
        <w:t>e</w:t>
      </w:r>
      <w:r w:rsidRPr="006A1F4F">
        <w:rPr>
          <w:rFonts w:ascii="Bookman Old Style" w:hAnsi="Bookman Old Style" w:cs="Times New Roman"/>
          <w:sz w:val="20"/>
          <w:szCs w:val="20"/>
        </w:rPr>
        <w:t>ment correspond au nombre d’année</w:t>
      </w:r>
      <w:r w:rsidR="00B06F54">
        <w:rPr>
          <w:rFonts w:ascii="Bookman Old Style" w:hAnsi="Bookman Old Style" w:cs="Times New Roman"/>
          <w:sz w:val="20"/>
          <w:szCs w:val="20"/>
        </w:rPr>
        <w:t>s</w:t>
      </w:r>
      <w:r w:rsidRPr="006A1F4F">
        <w:rPr>
          <w:rFonts w:ascii="Bookman Old Style" w:hAnsi="Bookman Old Style" w:cs="Times New Roman"/>
          <w:sz w:val="20"/>
          <w:szCs w:val="20"/>
        </w:rPr>
        <w:t xml:space="preserve"> néce</w:t>
      </w:r>
      <w:r w:rsidRPr="006A1F4F">
        <w:rPr>
          <w:rFonts w:ascii="Bookman Old Style" w:hAnsi="Bookman Old Style" w:cs="Times New Roman"/>
          <w:sz w:val="20"/>
          <w:szCs w:val="20"/>
        </w:rPr>
        <w:t>s</w:t>
      </w:r>
      <w:r w:rsidRPr="006A1F4F">
        <w:rPr>
          <w:rFonts w:ascii="Bookman Old Style" w:hAnsi="Bookman Old Style" w:cs="Times New Roman"/>
          <w:sz w:val="20"/>
          <w:szCs w:val="20"/>
        </w:rPr>
        <w:t>saire</w:t>
      </w:r>
      <w:r w:rsidR="00B06F54">
        <w:rPr>
          <w:rFonts w:ascii="Bookman Old Style" w:hAnsi="Bookman Old Style" w:cs="Times New Roman"/>
          <w:sz w:val="20"/>
          <w:szCs w:val="20"/>
        </w:rPr>
        <w:t>s</w:t>
      </w:r>
      <w:r w:rsidRPr="006A1F4F">
        <w:rPr>
          <w:rFonts w:ascii="Bookman Old Style" w:hAnsi="Bookman Old Style" w:cs="Times New Roman"/>
          <w:sz w:val="20"/>
          <w:szCs w:val="20"/>
        </w:rPr>
        <w:t xml:space="preserve"> aux régions pour rembourser leur dette si elles utilisaient pour cela l’intégralité de leur épargne brute. </w:t>
      </w:r>
      <w:r w:rsidR="000D39D5" w:rsidRPr="006A1F4F">
        <w:rPr>
          <w:rFonts w:ascii="Bookman Old Style" w:hAnsi="Bookman Old Style" w:cs="Times New Roman"/>
          <w:sz w:val="20"/>
          <w:szCs w:val="20"/>
        </w:rPr>
        <w:t>À cet égard, l</w:t>
      </w:r>
      <w:r w:rsidRPr="006A1F4F">
        <w:rPr>
          <w:rFonts w:ascii="Bookman Old Style" w:hAnsi="Bookman Old Style" w:cs="Times New Roman"/>
          <w:sz w:val="20"/>
          <w:szCs w:val="20"/>
        </w:rPr>
        <w:t xml:space="preserve">es deux groupes de régions se situent </w:t>
      </w:r>
      <w:r w:rsidR="00B06F54">
        <w:rPr>
          <w:rFonts w:ascii="Bookman Old Style" w:hAnsi="Bookman Old Style" w:cs="Times New Roman"/>
          <w:sz w:val="20"/>
          <w:szCs w:val="20"/>
        </w:rPr>
        <w:t xml:space="preserve">là encore </w:t>
      </w:r>
      <w:r w:rsidRPr="006A1F4F">
        <w:rPr>
          <w:rFonts w:ascii="Bookman Old Style" w:hAnsi="Bookman Old Style" w:cs="Times New Roman"/>
          <w:sz w:val="20"/>
          <w:szCs w:val="20"/>
        </w:rPr>
        <w:t>pratiquement au même niveau en 2019</w:t>
      </w:r>
      <w:r w:rsidR="00026767" w:rsidRPr="006A1F4F">
        <w:rPr>
          <w:rFonts w:ascii="Bookman Old Style" w:hAnsi="Bookman Old Style" w:cs="Times New Roman"/>
          <w:sz w:val="20"/>
          <w:szCs w:val="20"/>
        </w:rPr>
        <w:t xml:space="preserve"> </w:t>
      </w:r>
      <w:r w:rsidR="00026767" w:rsidRPr="006A1F4F">
        <w:rPr>
          <w:rFonts w:ascii="Bookman Old Style" w:hAnsi="Bookman Old Style" w:cs="Times New Roman"/>
          <w:i/>
          <w:sz w:val="20"/>
          <w:szCs w:val="20"/>
        </w:rPr>
        <w:t>(graphique</w:t>
      </w:r>
      <w:r w:rsidR="00B06F54">
        <w:rPr>
          <w:rFonts w:ascii="Bookman Old Style" w:hAnsi="Bookman Old Style" w:cs="Times New Roman"/>
          <w:i/>
          <w:sz w:val="20"/>
          <w:szCs w:val="20"/>
        </w:rPr>
        <w:t> </w:t>
      </w:r>
      <w:r w:rsidR="00870FDF" w:rsidRPr="006A1F4F">
        <w:rPr>
          <w:rFonts w:ascii="Bookman Old Style" w:hAnsi="Bookman Old Style" w:cs="Times New Roman"/>
          <w:i/>
          <w:sz w:val="20"/>
          <w:szCs w:val="20"/>
        </w:rPr>
        <w:t>7</w:t>
      </w:r>
      <w:r w:rsidR="00026767" w:rsidRPr="006A1F4F">
        <w:rPr>
          <w:rFonts w:ascii="Bookman Old Style" w:hAnsi="Bookman Old Style" w:cs="Times New Roman"/>
          <w:i/>
          <w:sz w:val="20"/>
          <w:szCs w:val="20"/>
        </w:rPr>
        <w:t>)</w:t>
      </w:r>
      <w:r w:rsidRPr="006A1F4F">
        <w:rPr>
          <w:rFonts w:ascii="Bookman Old Style" w:hAnsi="Bookman Old Style" w:cs="Times New Roman"/>
          <w:sz w:val="20"/>
          <w:szCs w:val="20"/>
        </w:rPr>
        <w:t>. Ce n’était pas le cas auparavant : la situation financière des régions fusionnées était, depuis 2015, plus confortable que celle des régions inchangées (au regard de ce seul indicateur synthétique). L</w:t>
      </w:r>
      <w:r w:rsidR="00257D67" w:rsidRPr="006A1F4F">
        <w:rPr>
          <w:rFonts w:ascii="Bookman Old Style" w:hAnsi="Bookman Old Style" w:cs="Times New Roman"/>
          <w:sz w:val="20"/>
          <w:szCs w:val="20"/>
        </w:rPr>
        <w:t xml:space="preserve">a réduction de l’encours de dette des régions </w:t>
      </w:r>
      <w:r w:rsidR="0008736D">
        <w:rPr>
          <w:rFonts w:ascii="Bookman Old Style" w:hAnsi="Bookman Old Style" w:cs="Times New Roman"/>
          <w:sz w:val="20"/>
          <w:szCs w:val="20"/>
        </w:rPr>
        <w:t>inchangées</w:t>
      </w:r>
      <w:r w:rsidR="00257D67" w:rsidRPr="006A1F4F">
        <w:rPr>
          <w:rFonts w:ascii="Bookman Old Style" w:hAnsi="Bookman Old Style" w:cs="Times New Roman"/>
          <w:sz w:val="20"/>
          <w:szCs w:val="20"/>
        </w:rPr>
        <w:t xml:space="preserve"> (à l’inverse des régions fusionnées) a permis une convergence des situations à la fin du mandat électoral régional.</w:t>
      </w:r>
    </w:p>
    <w:p w:rsidR="00257D67" w:rsidRPr="006A1F4F" w:rsidRDefault="00257D67" w:rsidP="00257D67">
      <w:pPr>
        <w:spacing w:after="0" w:line="240" w:lineRule="auto"/>
        <w:jc w:val="both"/>
        <w:rPr>
          <w:rFonts w:ascii="Bookman Old Style" w:hAnsi="Bookman Old Style" w:cs="Times New Roman"/>
          <w:sz w:val="20"/>
          <w:szCs w:val="20"/>
        </w:rPr>
      </w:pPr>
    </w:p>
    <w:p w:rsidR="00257D67" w:rsidRDefault="00257D67" w:rsidP="004C6A07">
      <w:pPr>
        <w:spacing w:after="0" w:line="240" w:lineRule="auto"/>
        <w:jc w:val="center"/>
        <w:rPr>
          <w:rFonts w:ascii="Bookman Old Style" w:hAnsi="Bookman Old Style" w:cs="Times New Roman"/>
          <w:sz w:val="20"/>
          <w:szCs w:val="20"/>
        </w:rPr>
      </w:pPr>
      <w:r w:rsidRPr="006A1F4F">
        <w:rPr>
          <w:rFonts w:ascii="Bookman Old Style" w:hAnsi="Bookman Old Style" w:cs="Times New Roman"/>
          <w:sz w:val="20"/>
          <w:szCs w:val="20"/>
        </w:rPr>
        <w:t xml:space="preserve">Graphique </w:t>
      </w:r>
      <w:r w:rsidR="00870FDF" w:rsidRPr="006A1F4F">
        <w:rPr>
          <w:rFonts w:ascii="Bookman Old Style" w:hAnsi="Bookman Old Style" w:cs="Times New Roman"/>
          <w:sz w:val="20"/>
          <w:szCs w:val="20"/>
        </w:rPr>
        <w:t>7</w:t>
      </w:r>
      <w:r w:rsidRPr="006A1F4F">
        <w:rPr>
          <w:rFonts w:ascii="Bookman Old Style" w:hAnsi="Bookman Old Style" w:cs="Times New Roman"/>
          <w:sz w:val="20"/>
          <w:szCs w:val="20"/>
        </w:rPr>
        <w:t xml:space="preserve"> - Délai de désendettement selon le </w:t>
      </w:r>
      <w:r w:rsidR="0008736D">
        <w:rPr>
          <w:rFonts w:ascii="Bookman Old Style" w:hAnsi="Bookman Old Style" w:cs="Times New Roman"/>
          <w:sz w:val="20"/>
          <w:szCs w:val="20"/>
        </w:rPr>
        <w:t>groupe</w:t>
      </w:r>
      <w:r w:rsidRPr="006A1F4F">
        <w:rPr>
          <w:rFonts w:ascii="Bookman Old Style" w:hAnsi="Bookman Old Style" w:cs="Times New Roman"/>
          <w:sz w:val="20"/>
          <w:szCs w:val="20"/>
        </w:rPr>
        <w:t xml:space="preserve"> de région</w:t>
      </w:r>
    </w:p>
    <w:p w:rsidR="0008736D" w:rsidRPr="006A1F4F" w:rsidRDefault="0008736D" w:rsidP="00257D67">
      <w:pPr>
        <w:spacing w:after="0" w:line="240" w:lineRule="auto"/>
        <w:jc w:val="both"/>
        <w:rPr>
          <w:rFonts w:ascii="Bookman Old Style" w:hAnsi="Bookman Old Style" w:cs="Times New Roman"/>
          <w:sz w:val="20"/>
          <w:szCs w:val="20"/>
        </w:rPr>
      </w:pPr>
    </w:p>
    <w:p w:rsidR="00257D67" w:rsidRPr="006A1F4F" w:rsidRDefault="00257D67" w:rsidP="00257D67">
      <w:pPr>
        <w:spacing w:after="0" w:line="240" w:lineRule="auto"/>
        <w:jc w:val="both"/>
        <w:rPr>
          <w:rFonts w:ascii="Bookman Old Style" w:hAnsi="Bookman Old Style" w:cs="Times New Roman"/>
          <w:sz w:val="20"/>
          <w:szCs w:val="20"/>
        </w:rPr>
      </w:pPr>
      <w:r w:rsidRPr="006A1F4F">
        <w:rPr>
          <w:rFonts w:ascii="Bookman Old Style" w:hAnsi="Bookman Old Style"/>
          <w:noProof/>
          <w:sz w:val="20"/>
          <w:szCs w:val="20"/>
          <w:lang w:eastAsia="fr-FR"/>
        </w:rPr>
        <w:drawing>
          <wp:inline distT="0" distB="0" distL="0" distR="0">
            <wp:extent cx="2927929" cy="2157822"/>
            <wp:effectExtent l="19050" t="0" r="5771"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931905" cy="2160752"/>
                    </a:xfrm>
                    <a:prstGeom prst="rect">
                      <a:avLst/>
                    </a:prstGeom>
                    <a:noFill/>
                    <a:ln w="9525">
                      <a:noFill/>
                      <a:miter lim="800000"/>
                      <a:headEnd/>
                      <a:tailEnd/>
                    </a:ln>
                  </pic:spPr>
                </pic:pic>
              </a:graphicData>
            </a:graphic>
          </wp:inline>
        </w:drawing>
      </w:r>
    </w:p>
    <w:p w:rsidR="006A1F4F" w:rsidRPr="006A1F4F" w:rsidRDefault="00257D67" w:rsidP="00257D67">
      <w:pPr>
        <w:spacing w:after="0" w:line="240" w:lineRule="auto"/>
        <w:jc w:val="both"/>
        <w:rPr>
          <w:rFonts w:ascii="Bookman Old Style" w:hAnsi="Bookman Old Style" w:cs="Times New Roman"/>
          <w:i/>
          <w:sz w:val="18"/>
          <w:szCs w:val="20"/>
        </w:rPr>
      </w:pPr>
      <w:r w:rsidRPr="006A1F4F">
        <w:rPr>
          <w:rFonts w:ascii="Bookman Old Style" w:hAnsi="Bookman Old Style" w:cs="Times New Roman"/>
          <w:i/>
          <w:sz w:val="18"/>
          <w:szCs w:val="20"/>
        </w:rPr>
        <w:t>Source : DGCL. Données DGFIP, compte de gestion, budgets principaux et annexes, opérations réelles.</w:t>
      </w:r>
    </w:p>
    <w:p w:rsidR="006A1F4F" w:rsidRDefault="006A1F4F" w:rsidP="00257D67">
      <w:pPr>
        <w:spacing w:after="0" w:line="240" w:lineRule="auto"/>
        <w:jc w:val="both"/>
        <w:rPr>
          <w:rFonts w:ascii="Bookman Old Style" w:hAnsi="Bookman Old Style" w:cs="Times New Roman"/>
          <w:i/>
          <w:sz w:val="18"/>
          <w:szCs w:val="20"/>
        </w:rPr>
      </w:pPr>
    </w:p>
    <w:p w:rsidR="0008736D" w:rsidRPr="006A1F4F" w:rsidRDefault="0008736D" w:rsidP="00257D67">
      <w:pPr>
        <w:spacing w:after="0" w:line="240" w:lineRule="auto"/>
        <w:jc w:val="both"/>
        <w:rPr>
          <w:rFonts w:ascii="Bookman Old Style" w:hAnsi="Bookman Old Style" w:cs="Times New Roman"/>
          <w:i/>
          <w:sz w:val="18"/>
          <w:szCs w:val="20"/>
        </w:rPr>
        <w:sectPr w:rsidR="0008736D" w:rsidRPr="006A1F4F" w:rsidSect="006A1F4F">
          <w:type w:val="continuous"/>
          <w:pgSz w:w="11906" w:h="16838"/>
          <w:pgMar w:top="992" w:right="992" w:bottom="992" w:left="992" w:header="709" w:footer="709" w:gutter="0"/>
          <w:cols w:num="2" w:space="708"/>
          <w:docGrid w:linePitch="360"/>
        </w:sectPr>
      </w:pPr>
    </w:p>
    <w:p w:rsidR="005C2285" w:rsidRPr="00B06F54" w:rsidRDefault="005C2285" w:rsidP="005C2285">
      <w:pPr>
        <w:pBdr>
          <w:top w:val="single" w:sz="4" w:space="1" w:color="auto"/>
          <w:left w:val="single" w:sz="4" w:space="1" w:color="auto"/>
          <w:bottom w:val="single" w:sz="4" w:space="1" w:color="auto"/>
          <w:right w:val="single" w:sz="4" w:space="1" w:color="auto"/>
        </w:pBdr>
        <w:spacing w:after="0"/>
        <w:jc w:val="center"/>
        <w:rPr>
          <w:rFonts w:ascii="Bookman Old Style" w:hAnsi="Bookman Old Style" w:cs="Times New Roman"/>
          <w:b/>
          <w:sz w:val="20"/>
          <w:szCs w:val="20"/>
        </w:rPr>
      </w:pPr>
      <w:r w:rsidRPr="00B06F54">
        <w:rPr>
          <w:rFonts w:ascii="Bookman Old Style" w:hAnsi="Bookman Old Style" w:cs="Times New Roman"/>
          <w:b/>
          <w:sz w:val="20"/>
          <w:szCs w:val="20"/>
        </w:rPr>
        <w:lastRenderedPageBreak/>
        <w:t>Encadré 1 – les régions entre 2015 et 2019 : quels changements ?</w:t>
      </w:r>
    </w:p>
    <w:p w:rsidR="0052565D" w:rsidRPr="00B06F54" w:rsidRDefault="0052565D" w:rsidP="005C2285">
      <w:pPr>
        <w:pBdr>
          <w:top w:val="single" w:sz="4" w:space="1" w:color="auto"/>
          <w:left w:val="single" w:sz="4" w:space="1" w:color="auto"/>
          <w:bottom w:val="single" w:sz="4" w:space="1" w:color="auto"/>
          <w:right w:val="single" w:sz="4" w:space="1" w:color="auto"/>
        </w:pBdr>
        <w:spacing w:after="0"/>
        <w:jc w:val="center"/>
        <w:rPr>
          <w:rFonts w:ascii="Bookman Old Style" w:hAnsi="Bookman Old Style" w:cs="Times New Roman"/>
          <w:b/>
          <w:sz w:val="20"/>
          <w:szCs w:val="20"/>
        </w:rPr>
      </w:pPr>
    </w:p>
    <w:p w:rsidR="005C2285" w:rsidRPr="00B06F54" w:rsidRDefault="00285498" w:rsidP="005C2285">
      <w:pPr>
        <w:pBdr>
          <w:top w:val="single" w:sz="4" w:space="1" w:color="auto"/>
          <w:left w:val="single" w:sz="4" w:space="1" w:color="auto"/>
          <w:bottom w:val="single" w:sz="4" w:space="1" w:color="auto"/>
          <w:right w:val="single" w:sz="4" w:space="1" w:color="auto"/>
        </w:pBdr>
        <w:spacing w:after="0"/>
        <w:jc w:val="both"/>
        <w:rPr>
          <w:rFonts w:ascii="Bookman Old Style" w:eastAsia="Times New Roman" w:hAnsi="Bookman Old Style" w:cs="Times New Roman"/>
          <w:sz w:val="20"/>
          <w:szCs w:val="20"/>
          <w:lang w:eastAsia="fr-FR"/>
        </w:rPr>
      </w:pPr>
      <w:r w:rsidRPr="00285498">
        <w:rPr>
          <w:rFonts w:ascii="Bookman Old Style" w:eastAsia="Times New Roman" w:hAnsi="Bookman Old Style" w:cs="Times New Roman"/>
          <w:sz w:val="20"/>
          <w:szCs w:val="20"/>
          <w:lang w:eastAsia="fr-FR"/>
        </w:rPr>
        <w:t>Dans le cadre de la réforme territoriale de la loi du 16 janvier 2015</w:t>
      </w:r>
      <w:r w:rsidRPr="00AB6274">
        <w:rPr>
          <w:rFonts w:ascii="Bookman Old Style" w:eastAsia="Times New Roman" w:hAnsi="Bookman Old Style" w:cs="Times New Roman"/>
          <w:sz w:val="20"/>
          <w:szCs w:val="20"/>
          <w:lang w:eastAsia="fr-FR"/>
        </w:rPr>
        <w:t xml:space="preserve">, le nombre de </w:t>
      </w:r>
      <w:r>
        <w:rPr>
          <w:rFonts w:ascii="Bookman Old Style" w:eastAsia="Times New Roman" w:hAnsi="Bookman Old Style" w:cs="Times New Roman"/>
          <w:sz w:val="20"/>
          <w:szCs w:val="20"/>
          <w:lang w:eastAsia="fr-FR"/>
        </w:rPr>
        <w:t>« </w:t>
      </w:r>
      <w:r w:rsidRPr="00AB6274">
        <w:rPr>
          <w:rFonts w:ascii="Bookman Old Style" w:eastAsia="Times New Roman" w:hAnsi="Bookman Old Style" w:cs="Times New Roman"/>
          <w:sz w:val="20"/>
          <w:szCs w:val="20"/>
          <w:lang w:eastAsia="fr-FR"/>
        </w:rPr>
        <w:t>territoires régi</w:t>
      </w:r>
      <w:r w:rsidRPr="00AB6274">
        <w:rPr>
          <w:rFonts w:ascii="Bookman Old Style" w:eastAsia="Times New Roman" w:hAnsi="Bookman Old Style" w:cs="Times New Roman"/>
          <w:sz w:val="20"/>
          <w:szCs w:val="20"/>
          <w:lang w:eastAsia="fr-FR"/>
        </w:rPr>
        <w:t>o</w:t>
      </w:r>
      <w:r w:rsidRPr="00AB6274">
        <w:rPr>
          <w:rFonts w:ascii="Bookman Old Style" w:eastAsia="Times New Roman" w:hAnsi="Bookman Old Style" w:cs="Times New Roman"/>
          <w:sz w:val="20"/>
          <w:szCs w:val="20"/>
          <w:lang w:eastAsia="fr-FR"/>
        </w:rPr>
        <w:t>naux</w:t>
      </w:r>
      <w:r>
        <w:rPr>
          <w:rFonts w:ascii="Bookman Old Style" w:eastAsia="Times New Roman" w:hAnsi="Bookman Old Style" w:cs="Times New Roman"/>
          <w:sz w:val="20"/>
          <w:szCs w:val="20"/>
          <w:lang w:eastAsia="fr-FR"/>
        </w:rPr>
        <w:t> »</w:t>
      </w:r>
      <w:r w:rsidRPr="00AB6274">
        <w:rPr>
          <w:rFonts w:ascii="Bookman Old Style" w:eastAsia="Times New Roman" w:hAnsi="Bookman Old Style" w:cs="Times New Roman"/>
          <w:sz w:val="20"/>
          <w:szCs w:val="20"/>
          <w:lang w:eastAsia="fr-FR"/>
        </w:rPr>
        <w:t xml:space="preserve"> est passé de 27 en 2015 à 18 en 2016 (en incluant Mayotte, les quatre DOM et la Corse dans le décompte)</w:t>
      </w:r>
      <w:r>
        <w:rPr>
          <w:rFonts w:ascii="Bookman Old Style" w:eastAsia="Times New Roman" w:hAnsi="Bookman Old Style" w:cs="Times New Roman"/>
          <w:sz w:val="20"/>
          <w:szCs w:val="20"/>
          <w:lang w:eastAsia="fr-FR"/>
        </w:rPr>
        <w:t xml:space="preserve">. </w:t>
      </w:r>
      <w:r w:rsidRPr="00B06F54">
        <w:rPr>
          <w:rFonts w:ascii="Bookman Old Style" w:eastAsia="Times New Roman" w:hAnsi="Bookman Old Style" w:cs="Times New Roman"/>
          <w:sz w:val="20"/>
          <w:szCs w:val="20"/>
          <w:lang w:eastAsia="fr-FR"/>
        </w:rPr>
        <w:t>Six régions de France métropolitaine ont gardé leur contour d’origine (Bretagne, Centre-Val de Loire, Corse, Pays de la Loire, Provence-Alpes Côte d’Azur et Île-de-France) et les autres ont fusionné pour donner naissance à sept nouvelles régions (Auvergne-Rhône-Alpes, Bourgogne-Franche-Comté, Grand Est, Hauts-de-France, Normandie, Nouvelle-Aquitaine, Occitanie). Le groupe des régions incha</w:t>
      </w:r>
      <w:r w:rsidRPr="00B06F54">
        <w:rPr>
          <w:rFonts w:ascii="Bookman Old Style" w:eastAsia="Times New Roman" w:hAnsi="Bookman Old Style" w:cs="Times New Roman"/>
          <w:sz w:val="20"/>
          <w:szCs w:val="20"/>
          <w:lang w:eastAsia="fr-FR"/>
        </w:rPr>
        <w:t>n</w:t>
      </w:r>
      <w:r w:rsidRPr="00B06F54">
        <w:rPr>
          <w:rFonts w:ascii="Bookman Old Style" w:eastAsia="Times New Roman" w:hAnsi="Bookman Old Style" w:cs="Times New Roman"/>
          <w:sz w:val="20"/>
          <w:szCs w:val="20"/>
          <w:lang w:eastAsia="fr-FR"/>
        </w:rPr>
        <w:t>gées représente 40 % des dépenses de fonctionnement régionales et celui des régions fusionnées 60 %. Ce dernier groupe a donc un volume budgétaire de fonctionnement 1,5 fois plus important que le groupe des régions inchangées.</w:t>
      </w:r>
      <w:r>
        <w:rPr>
          <w:rFonts w:ascii="Bookman Old Style" w:eastAsia="Times New Roman" w:hAnsi="Bookman Old Style" w:cs="Times New Roman"/>
          <w:sz w:val="20"/>
          <w:szCs w:val="20"/>
          <w:lang w:eastAsia="fr-FR"/>
        </w:rPr>
        <w:t xml:space="preserve"> </w:t>
      </w:r>
      <w:r w:rsidR="005C2285" w:rsidRPr="00B06F54">
        <w:rPr>
          <w:rFonts w:ascii="Bookman Old Style" w:hAnsi="Bookman Old Style" w:cs="Times New Roman"/>
          <w:sz w:val="20"/>
          <w:szCs w:val="20"/>
        </w:rPr>
        <w:t>La loi portant sur la Nouvelle Organisation Territoriale de la République (</w:t>
      </w:r>
      <w:proofErr w:type="spellStart"/>
      <w:r w:rsidR="005C2285" w:rsidRPr="00B06F54">
        <w:rPr>
          <w:rFonts w:ascii="Bookman Old Style" w:hAnsi="Bookman Old Style" w:cs="Times New Roman"/>
          <w:sz w:val="20"/>
          <w:szCs w:val="20"/>
        </w:rPr>
        <w:t>NOTRé</w:t>
      </w:r>
      <w:proofErr w:type="spellEnd"/>
      <w:r w:rsidR="005C2285" w:rsidRPr="00B06F54">
        <w:rPr>
          <w:rFonts w:ascii="Bookman Old Style" w:hAnsi="Bookman Old Style" w:cs="Times New Roman"/>
          <w:sz w:val="20"/>
          <w:szCs w:val="20"/>
        </w:rPr>
        <w:t>) du 7 août 2015, confiait de nouvelles compétences aux régions</w:t>
      </w:r>
      <w:r>
        <w:rPr>
          <w:rFonts w:ascii="Bookman Old Style" w:hAnsi="Bookman Old Style" w:cs="Times New Roman"/>
          <w:sz w:val="20"/>
          <w:szCs w:val="20"/>
        </w:rPr>
        <w:t>,</w:t>
      </w:r>
      <w:r w:rsidR="005C2285" w:rsidRPr="00B06F54">
        <w:rPr>
          <w:rFonts w:ascii="Bookman Old Style" w:eastAsia="Times New Roman" w:hAnsi="Bookman Old Style" w:cs="Times New Roman"/>
          <w:sz w:val="20"/>
          <w:szCs w:val="20"/>
          <w:lang w:eastAsia="fr-FR"/>
        </w:rPr>
        <w:t xml:space="preserve"> en </w:t>
      </w:r>
      <w:r>
        <w:rPr>
          <w:rFonts w:ascii="Bookman Old Style" w:eastAsia="Times New Roman" w:hAnsi="Bookman Old Style" w:cs="Times New Roman"/>
          <w:sz w:val="20"/>
          <w:szCs w:val="20"/>
          <w:lang w:eastAsia="fr-FR"/>
        </w:rPr>
        <w:t xml:space="preserve">les </w:t>
      </w:r>
      <w:r w:rsidR="005C2285" w:rsidRPr="00B06F54">
        <w:rPr>
          <w:rFonts w:ascii="Bookman Old Style" w:eastAsia="Times New Roman" w:hAnsi="Bookman Old Style" w:cs="Times New Roman"/>
          <w:sz w:val="20"/>
          <w:szCs w:val="20"/>
          <w:lang w:eastAsia="fr-FR"/>
        </w:rPr>
        <w:t>renforçant dans pl</w:t>
      </w:r>
      <w:r w:rsidR="005C2285" w:rsidRPr="00B06F54">
        <w:rPr>
          <w:rFonts w:ascii="Bookman Old Style" w:eastAsia="Times New Roman" w:hAnsi="Bookman Old Style" w:cs="Times New Roman"/>
          <w:sz w:val="20"/>
          <w:szCs w:val="20"/>
          <w:lang w:eastAsia="fr-FR"/>
        </w:rPr>
        <w:t>u</w:t>
      </w:r>
      <w:r w:rsidR="005C2285" w:rsidRPr="00B06F54">
        <w:rPr>
          <w:rFonts w:ascii="Bookman Old Style" w:eastAsia="Times New Roman" w:hAnsi="Bookman Old Style" w:cs="Times New Roman"/>
          <w:sz w:val="20"/>
          <w:szCs w:val="20"/>
          <w:lang w:eastAsia="fr-FR"/>
        </w:rPr>
        <w:t xml:space="preserve">sieurs domaines tels que le développement économique, l’aménagement du territoire, le développement durable et les transports interurbains et scolaires. </w:t>
      </w:r>
    </w:p>
    <w:p w:rsidR="0052565D" w:rsidRPr="00B06F54" w:rsidRDefault="0052565D" w:rsidP="005C2285">
      <w:pPr>
        <w:pBdr>
          <w:top w:val="single" w:sz="4" w:space="1" w:color="auto"/>
          <w:left w:val="single" w:sz="4" w:space="1" w:color="auto"/>
          <w:bottom w:val="single" w:sz="4" w:space="1" w:color="auto"/>
          <w:right w:val="single" w:sz="4" w:space="1" w:color="auto"/>
        </w:pBdr>
        <w:spacing w:after="0"/>
        <w:jc w:val="both"/>
        <w:rPr>
          <w:rFonts w:ascii="Bookman Old Style" w:eastAsia="Times New Roman" w:hAnsi="Bookman Old Style" w:cs="Times New Roman"/>
          <w:sz w:val="20"/>
          <w:szCs w:val="20"/>
          <w:lang w:eastAsia="fr-FR"/>
        </w:rPr>
      </w:pPr>
    </w:p>
    <w:p w:rsidR="005C2285" w:rsidRPr="00B06F54" w:rsidRDefault="005C2285" w:rsidP="005C2285">
      <w:pPr>
        <w:pBdr>
          <w:top w:val="single" w:sz="4" w:space="1" w:color="auto"/>
          <w:left w:val="single" w:sz="4" w:space="1" w:color="auto"/>
          <w:bottom w:val="single" w:sz="4" w:space="1" w:color="auto"/>
          <w:right w:val="single" w:sz="4" w:space="1" w:color="auto"/>
        </w:pBdr>
        <w:spacing w:after="0"/>
        <w:jc w:val="both"/>
        <w:rPr>
          <w:rFonts w:ascii="Bookman Old Style" w:hAnsi="Bookman Old Style" w:cs="Times New Roman"/>
          <w:sz w:val="20"/>
          <w:szCs w:val="20"/>
        </w:rPr>
      </w:pPr>
      <w:r w:rsidRPr="00B06F54">
        <w:rPr>
          <w:rFonts w:ascii="Bookman Old Style" w:hAnsi="Bookman Old Style" w:cs="Times New Roman"/>
          <w:sz w:val="20"/>
          <w:szCs w:val="20"/>
        </w:rPr>
        <w:t xml:space="preserve">L’analyse de l’évolution des comptes des régions est </w:t>
      </w:r>
      <w:r w:rsidR="00285498">
        <w:rPr>
          <w:rFonts w:ascii="Bookman Old Style" w:hAnsi="Bookman Old Style" w:cs="Times New Roman"/>
          <w:sz w:val="20"/>
          <w:szCs w:val="20"/>
        </w:rPr>
        <w:t>alors</w:t>
      </w:r>
      <w:r w:rsidRPr="00B06F54">
        <w:rPr>
          <w:rFonts w:ascii="Bookman Old Style" w:hAnsi="Bookman Old Style" w:cs="Times New Roman"/>
          <w:sz w:val="20"/>
          <w:szCs w:val="20"/>
        </w:rPr>
        <w:t xml:space="preserve"> rendue difficile pour plusieurs raisons :</w:t>
      </w:r>
    </w:p>
    <w:p w:rsidR="005C2285" w:rsidRPr="00B06F54" w:rsidRDefault="005C2285" w:rsidP="005C2285">
      <w:pPr>
        <w:pBdr>
          <w:top w:val="single" w:sz="4" w:space="1" w:color="auto"/>
          <w:left w:val="single" w:sz="4" w:space="1" w:color="auto"/>
          <w:bottom w:val="single" w:sz="4" w:space="1" w:color="auto"/>
          <w:right w:val="single" w:sz="4" w:space="1" w:color="auto"/>
        </w:pBdr>
        <w:spacing w:after="0"/>
        <w:ind w:left="284" w:hanging="284"/>
        <w:jc w:val="both"/>
        <w:rPr>
          <w:rFonts w:ascii="Bookman Old Style" w:hAnsi="Bookman Old Style" w:cs="Times New Roman"/>
          <w:sz w:val="20"/>
          <w:szCs w:val="20"/>
        </w:rPr>
      </w:pPr>
      <w:r w:rsidRPr="00B06F54">
        <w:rPr>
          <w:rFonts w:ascii="Bookman Old Style" w:hAnsi="Bookman Old Style" w:cs="Times New Roman"/>
          <w:sz w:val="20"/>
          <w:szCs w:val="20"/>
        </w:rPr>
        <w:t xml:space="preserve">- À des dates différentes, la Martinique, la Guyane et la Corse ont fusionné les compétences de leurs départements et de la région en devenant des collectivités uniques. L’étude ne porte donc pas sur ces territoires, et toutes les évolutions de 2015 à 2019 sont calculées hors ces trois </w:t>
      </w:r>
      <w:r w:rsidR="00B06F54">
        <w:rPr>
          <w:rFonts w:ascii="Bookman Old Style" w:hAnsi="Bookman Old Style" w:cs="Times New Roman"/>
          <w:sz w:val="20"/>
          <w:szCs w:val="20"/>
        </w:rPr>
        <w:t>territoires</w:t>
      </w:r>
      <w:r w:rsidRPr="00B06F54">
        <w:rPr>
          <w:rFonts w:ascii="Bookman Old Style" w:hAnsi="Bookman Old Style" w:cs="Times New Roman"/>
          <w:sz w:val="20"/>
          <w:szCs w:val="20"/>
        </w:rPr>
        <w:t>.</w:t>
      </w:r>
    </w:p>
    <w:p w:rsidR="005C2285" w:rsidRPr="00B06F54" w:rsidRDefault="005C2285" w:rsidP="005C2285">
      <w:pPr>
        <w:pBdr>
          <w:top w:val="single" w:sz="4" w:space="1" w:color="auto"/>
          <w:left w:val="single" w:sz="4" w:space="1" w:color="auto"/>
          <w:bottom w:val="single" w:sz="4" w:space="1" w:color="auto"/>
          <w:right w:val="single" w:sz="4" w:space="1" w:color="auto"/>
        </w:pBdr>
        <w:spacing w:after="0"/>
        <w:ind w:left="284" w:hanging="284"/>
        <w:jc w:val="both"/>
        <w:rPr>
          <w:rFonts w:ascii="Bookman Old Style" w:hAnsi="Bookman Old Style" w:cs="Times New Roman"/>
          <w:sz w:val="20"/>
          <w:szCs w:val="20"/>
        </w:rPr>
      </w:pPr>
      <w:r w:rsidRPr="00B06F54">
        <w:rPr>
          <w:rFonts w:ascii="Bookman Old Style" w:hAnsi="Bookman Old Style" w:cs="Times New Roman"/>
          <w:sz w:val="20"/>
          <w:szCs w:val="20"/>
        </w:rPr>
        <w:t>- Les transferts de compétences</w:t>
      </w:r>
      <w:r w:rsidR="0008736D" w:rsidRPr="00B06F54">
        <w:rPr>
          <w:rFonts w:ascii="Bookman Old Style" w:hAnsi="Bookman Old Style" w:cs="Times New Roman"/>
          <w:sz w:val="20"/>
          <w:szCs w:val="20"/>
        </w:rPr>
        <w:t xml:space="preserve"> des départements vers les régions</w:t>
      </w:r>
      <w:r w:rsidRPr="00B06F54">
        <w:rPr>
          <w:rFonts w:ascii="Bookman Old Style" w:hAnsi="Bookman Old Style" w:cs="Times New Roman"/>
          <w:sz w:val="20"/>
          <w:szCs w:val="20"/>
        </w:rPr>
        <w:t xml:space="preserve"> dans le domaine du transport ont débuté en 2017, en deux vagues, au 1er janvier et au 1er septembre ; ils se sont poursuivis en 2018. Cela touche </w:t>
      </w:r>
      <w:r w:rsidR="0008736D">
        <w:rPr>
          <w:rFonts w:ascii="Bookman Old Style" w:hAnsi="Bookman Old Style" w:cs="Times New Roman"/>
          <w:sz w:val="20"/>
          <w:szCs w:val="20"/>
        </w:rPr>
        <w:t xml:space="preserve">surtout </w:t>
      </w:r>
      <w:r w:rsidRPr="00B06F54">
        <w:rPr>
          <w:rFonts w:ascii="Bookman Old Style" w:hAnsi="Bookman Old Style" w:cs="Times New Roman"/>
          <w:sz w:val="20"/>
          <w:szCs w:val="20"/>
        </w:rPr>
        <w:t>les dépenses de fonctionnement, et toutes les évolutions doivent alors être d</w:t>
      </w:r>
      <w:r w:rsidRPr="00B06F54">
        <w:rPr>
          <w:rFonts w:ascii="Bookman Old Style" w:hAnsi="Bookman Old Style" w:cs="Times New Roman"/>
          <w:sz w:val="20"/>
          <w:szCs w:val="20"/>
        </w:rPr>
        <w:t>é</w:t>
      </w:r>
      <w:r w:rsidRPr="00B06F54">
        <w:rPr>
          <w:rFonts w:ascii="Bookman Old Style" w:hAnsi="Bookman Old Style" w:cs="Times New Roman"/>
          <w:sz w:val="20"/>
          <w:szCs w:val="20"/>
        </w:rPr>
        <w:t>crites hors les fonctions de transports transférés par les départements. On les repère grâce à la ve</w:t>
      </w:r>
      <w:r w:rsidRPr="00B06F54">
        <w:rPr>
          <w:rFonts w:ascii="Bookman Old Style" w:hAnsi="Bookman Old Style" w:cs="Times New Roman"/>
          <w:sz w:val="20"/>
          <w:szCs w:val="20"/>
        </w:rPr>
        <w:t>n</w:t>
      </w:r>
      <w:r w:rsidRPr="00B06F54">
        <w:rPr>
          <w:rFonts w:ascii="Bookman Old Style" w:hAnsi="Bookman Old Style" w:cs="Times New Roman"/>
          <w:sz w:val="20"/>
          <w:szCs w:val="20"/>
        </w:rPr>
        <w:t>tilation fonctionnelle des comptes de gestion, en supprimant les dépenses affectées aux codes 813, 81</w:t>
      </w:r>
      <w:r w:rsidR="0052565D" w:rsidRPr="00B06F54">
        <w:rPr>
          <w:rFonts w:ascii="Bookman Old Style" w:hAnsi="Bookman Old Style" w:cs="Times New Roman"/>
          <w:sz w:val="20"/>
          <w:szCs w:val="20"/>
        </w:rPr>
        <w:t>4 et 815 de la nomenclature M71</w:t>
      </w:r>
      <w:r w:rsidRPr="00B06F54">
        <w:rPr>
          <w:rFonts w:ascii="Bookman Old Style" w:hAnsi="Bookman Old Style" w:cs="Times New Roman"/>
          <w:sz w:val="20"/>
          <w:szCs w:val="20"/>
        </w:rPr>
        <w:t xml:space="preserve"> </w:t>
      </w:r>
      <w:r w:rsidR="00B06F54">
        <w:rPr>
          <w:rFonts w:ascii="Bookman Old Style" w:hAnsi="Bookman Old Style" w:cs="Times New Roman"/>
          <w:sz w:val="20"/>
          <w:szCs w:val="20"/>
        </w:rPr>
        <w:t>(et leurs équivalent</w:t>
      </w:r>
      <w:r w:rsidR="0008736D">
        <w:rPr>
          <w:rFonts w:ascii="Bookman Old Style" w:hAnsi="Bookman Old Style" w:cs="Times New Roman"/>
          <w:sz w:val="20"/>
          <w:szCs w:val="20"/>
        </w:rPr>
        <w:t>s</w:t>
      </w:r>
      <w:r w:rsidR="00B06F54">
        <w:rPr>
          <w:rFonts w:ascii="Bookman Old Style" w:hAnsi="Bookman Old Style" w:cs="Times New Roman"/>
          <w:sz w:val="20"/>
          <w:szCs w:val="20"/>
        </w:rPr>
        <w:t xml:space="preserve"> en M57) </w:t>
      </w:r>
      <w:r w:rsidRPr="00B06F54">
        <w:rPr>
          <w:rFonts w:ascii="Bookman Old Style" w:hAnsi="Bookman Old Style" w:cs="Times New Roman"/>
          <w:sz w:val="20"/>
          <w:szCs w:val="20"/>
        </w:rPr>
        <w:t>: transports scolaires, interu</w:t>
      </w:r>
      <w:r w:rsidRPr="00B06F54">
        <w:rPr>
          <w:rFonts w:ascii="Bookman Old Style" w:hAnsi="Bookman Old Style" w:cs="Times New Roman"/>
          <w:sz w:val="20"/>
          <w:szCs w:val="20"/>
        </w:rPr>
        <w:t>r</w:t>
      </w:r>
      <w:r w:rsidRPr="00B06F54">
        <w:rPr>
          <w:rFonts w:ascii="Bookman Old Style" w:hAnsi="Bookman Old Style" w:cs="Times New Roman"/>
          <w:sz w:val="20"/>
          <w:szCs w:val="20"/>
        </w:rPr>
        <w:t xml:space="preserve">bains, mixtes. Les dépenses d'investissement sont </w:t>
      </w:r>
      <w:r w:rsidR="00B06F54">
        <w:rPr>
          <w:rFonts w:ascii="Bookman Old Style" w:hAnsi="Bookman Old Style" w:cs="Times New Roman"/>
          <w:sz w:val="20"/>
          <w:szCs w:val="20"/>
        </w:rPr>
        <w:t>peu</w:t>
      </w:r>
      <w:r w:rsidRPr="00B06F54">
        <w:rPr>
          <w:rFonts w:ascii="Bookman Old Style" w:hAnsi="Bookman Old Style" w:cs="Times New Roman"/>
          <w:sz w:val="20"/>
          <w:szCs w:val="20"/>
        </w:rPr>
        <w:t xml:space="preserve"> concernées par ces transferts. </w:t>
      </w:r>
    </w:p>
    <w:p w:rsidR="005C2285" w:rsidRPr="00B06F54" w:rsidRDefault="005C2285" w:rsidP="005C2285">
      <w:pPr>
        <w:pBdr>
          <w:top w:val="single" w:sz="4" w:space="1" w:color="auto"/>
          <w:left w:val="single" w:sz="4" w:space="1" w:color="auto"/>
          <w:bottom w:val="single" w:sz="4" w:space="1" w:color="auto"/>
          <w:right w:val="single" w:sz="4" w:space="1" w:color="auto"/>
        </w:pBdr>
        <w:ind w:left="284" w:hanging="284"/>
        <w:jc w:val="both"/>
        <w:rPr>
          <w:rFonts w:ascii="Bookman Old Style" w:hAnsi="Bookman Old Style" w:cs="Times New Roman"/>
          <w:sz w:val="20"/>
          <w:szCs w:val="20"/>
        </w:rPr>
      </w:pPr>
      <w:r w:rsidRPr="00B06F54">
        <w:rPr>
          <w:rFonts w:ascii="Bookman Old Style" w:hAnsi="Bookman Old Style" w:cs="Times New Roman"/>
          <w:sz w:val="20"/>
          <w:szCs w:val="20"/>
        </w:rPr>
        <w:t xml:space="preserve">- Les régions </w:t>
      </w:r>
      <w:r w:rsidR="0052565D" w:rsidRPr="00B06F54">
        <w:rPr>
          <w:rFonts w:ascii="Bookman Old Style" w:hAnsi="Bookman Old Style" w:cs="Times New Roman"/>
          <w:sz w:val="20"/>
          <w:szCs w:val="20"/>
        </w:rPr>
        <w:t>reçoivent</w:t>
      </w:r>
      <w:r w:rsidRPr="00B06F54">
        <w:rPr>
          <w:rFonts w:ascii="Bookman Old Style" w:hAnsi="Bookman Old Style" w:cs="Times New Roman"/>
          <w:sz w:val="20"/>
          <w:szCs w:val="20"/>
        </w:rPr>
        <w:t xml:space="preserve"> </w:t>
      </w:r>
      <w:r w:rsidR="00B06F54">
        <w:rPr>
          <w:rFonts w:ascii="Bookman Old Style" w:hAnsi="Bookman Old Style" w:cs="Times New Roman"/>
          <w:sz w:val="20"/>
          <w:szCs w:val="20"/>
        </w:rPr>
        <w:t>d</w:t>
      </w:r>
      <w:r w:rsidRPr="00B06F54">
        <w:rPr>
          <w:rFonts w:ascii="Bookman Old Style" w:hAnsi="Bookman Old Style" w:cs="Times New Roman"/>
          <w:sz w:val="20"/>
          <w:szCs w:val="20"/>
        </w:rPr>
        <w:t>es fonds européens</w:t>
      </w:r>
      <w:r w:rsidR="00B06F54">
        <w:rPr>
          <w:rFonts w:ascii="Bookman Old Style" w:hAnsi="Bookman Old Style" w:cs="Times New Roman"/>
          <w:sz w:val="20"/>
          <w:szCs w:val="20"/>
        </w:rPr>
        <w:t>, pour leur propre usage (subventions à des associations p</w:t>
      </w:r>
      <w:r w:rsidR="00285498">
        <w:rPr>
          <w:rFonts w:ascii="Bookman Old Style" w:hAnsi="Bookman Old Style" w:cs="Times New Roman"/>
          <w:sz w:val="20"/>
          <w:szCs w:val="20"/>
        </w:rPr>
        <w:t>a</w:t>
      </w:r>
      <w:r w:rsidR="00B06F54">
        <w:rPr>
          <w:rFonts w:ascii="Bookman Old Style" w:hAnsi="Bookman Old Style" w:cs="Times New Roman"/>
          <w:sz w:val="20"/>
          <w:szCs w:val="20"/>
        </w:rPr>
        <w:t>r exemple), ou pour</w:t>
      </w:r>
      <w:r w:rsidRPr="00B06F54">
        <w:rPr>
          <w:rFonts w:ascii="Bookman Old Style" w:hAnsi="Bookman Old Style" w:cs="Times New Roman"/>
          <w:sz w:val="20"/>
          <w:szCs w:val="20"/>
        </w:rPr>
        <w:t xml:space="preserve"> les reverse</w:t>
      </w:r>
      <w:r w:rsidR="00B06F54">
        <w:rPr>
          <w:rFonts w:ascii="Bookman Old Style" w:hAnsi="Bookman Old Style" w:cs="Times New Roman"/>
          <w:sz w:val="20"/>
          <w:szCs w:val="20"/>
        </w:rPr>
        <w:t>r</w:t>
      </w:r>
      <w:r w:rsidRPr="00B06F54">
        <w:rPr>
          <w:rFonts w:ascii="Bookman Old Style" w:hAnsi="Bookman Old Style" w:cs="Times New Roman"/>
          <w:sz w:val="20"/>
          <w:szCs w:val="20"/>
        </w:rPr>
        <w:t xml:space="preserve"> à d</w:t>
      </w:r>
      <w:r w:rsidR="00B06F54">
        <w:rPr>
          <w:rFonts w:ascii="Bookman Old Style" w:hAnsi="Bookman Old Style" w:cs="Times New Roman"/>
          <w:sz w:val="20"/>
          <w:szCs w:val="20"/>
        </w:rPr>
        <w:t>’autres</w:t>
      </w:r>
      <w:r w:rsidRPr="00B06F54">
        <w:rPr>
          <w:rFonts w:ascii="Bookman Old Style" w:hAnsi="Bookman Old Style" w:cs="Times New Roman"/>
          <w:sz w:val="20"/>
          <w:szCs w:val="20"/>
        </w:rPr>
        <w:t xml:space="preserve"> collectivités </w:t>
      </w:r>
      <w:r w:rsidR="00DA189B">
        <w:rPr>
          <w:rFonts w:ascii="Bookman Old Style" w:hAnsi="Bookman Old Style" w:cs="Times New Roman"/>
          <w:sz w:val="20"/>
          <w:szCs w:val="20"/>
        </w:rPr>
        <w:t>qui en seront responsables</w:t>
      </w:r>
      <w:r w:rsidRPr="00B06F54">
        <w:rPr>
          <w:rFonts w:ascii="Bookman Old Style" w:hAnsi="Bookman Old Style" w:cs="Times New Roman"/>
          <w:sz w:val="20"/>
          <w:szCs w:val="20"/>
        </w:rPr>
        <w:t xml:space="preserve">. </w:t>
      </w:r>
      <w:r w:rsidR="0052565D" w:rsidRPr="00B06F54">
        <w:rPr>
          <w:rFonts w:ascii="Bookman Old Style" w:hAnsi="Bookman Old Style" w:cs="Times New Roman"/>
          <w:sz w:val="20"/>
          <w:szCs w:val="20"/>
        </w:rPr>
        <w:t>La partie corre</w:t>
      </w:r>
      <w:r w:rsidR="0052565D" w:rsidRPr="00B06F54">
        <w:rPr>
          <w:rFonts w:ascii="Bookman Old Style" w:hAnsi="Bookman Old Style" w:cs="Times New Roman"/>
          <w:sz w:val="20"/>
          <w:szCs w:val="20"/>
        </w:rPr>
        <w:t>s</w:t>
      </w:r>
      <w:r w:rsidR="0052565D" w:rsidRPr="00B06F54">
        <w:rPr>
          <w:rFonts w:ascii="Bookman Old Style" w:hAnsi="Bookman Old Style" w:cs="Times New Roman"/>
          <w:sz w:val="20"/>
          <w:szCs w:val="20"/>
        </w:rPr>
        <w:t xml:space="preserve">pondant à </w:t>
      </w:r>
      <w:r w:rsidR="00DA189B">
        <w:rPr>
          <w:rFonts w:ascii="Bookman Old Style" w:hAnsi="Bookman Old Style" w:cs="Times New Roman"/>
          <w:sz w:val="20"/>
          <w:szCs w:val="20"/>
        </w:rPr>
        <w:t>cette</w:t>
      </w:r>
      <w:r w:rsidR="0052565D" w:rsidRPr="00B06F54">
        <w:rPr>
          <w:rFonts w:ascii="Bookman Old Style" w:hAnsi="Bookman Old Style" w:cs="Times New Roman"/>
          <w:sz w:val="20"/>
          <w:szCs w:val="20"/>
        </w:rPr>
        <w:t xml:space="preserve"> simple gestion (repérée grâce à la fonction 6 de la nomenclature M71</w:t>
      </w:r>
      <w:r w:rsidR="00DA189B">
        <w:rPr>
          <w:rFonts w:ascii="Bookman Old Style" w:hAnsi="Bookman Old Style" w:cs="Times New Roman"/>
          <w:sz w:val="20"/>
          <w:szCs w:val="20"/>
        </w:rPr>
        <w:t xml:space="preserve"> et 05 de la M57</w:t>
      </w:r>
      <w:r w:rsidR="0052565D" w:rsidRPr="00B06F54">
        <w:rPr>
          <w:rFonts w:ascii="Bookman Old Style" w:hAnsi="Bookman Old Style" w:cs="Times New Roman"/>
          <w:sz w:val="20"/>
          <w:szCs w:val="20"/>
        </w:rPr>
        <w:t xml:space="preserve">) ne correspond pas à des dépenses régionales, mais à un flux de dépense qui consiste juste à transmettre ces </w:t>
      </w:r>
      <w:r w:rsidR="00DA189B">
        <w:rPr>
          <w:rFonts w:ascii="Bookman Old Style" w:hAnsi="Bookman Old Style" w:cs="Times New Roman"/>
          <w:sz w:val="20"/>
          <w:szCs w:val="20"/>
        </w:rPr>
        <w:t>fonds</w:t>
      </w:r>
      <w:r w:rsidR="0052565D" w:rsidRPr="00B06F54">
        <w:rPr>
          <w:rFonts w:ascii="Bookman Old Style" w:hAnsi="Bookman Old Style" w:cs="Times New Roman"/>
          <w:sz w:val="20"/>
          <w:szCs w:val="20"/>
        </w:rPr>
        <w:t xml:space="preserve"> à d’autres collectivités. </w:t>
      </w:r>
      <w:r w:rsidRPr="00B06F54">
        <w:rPr>
          <w:rFonts w:ascii="Bookman Old Style" w:hAnsi="Bookman Old Style" w:cs="Times New Roman"/>
          <w:sz w:val="20"/>
          <w:szCs w:val="20"/>
        </w:rPr>
        <w:t>Selon les régions et selon les années</w:t>
      </w:r>
      <w:r w:rsidR="00DA189B">
        <w:rPr>
          <w:rFonts w:ascii="Bookman Old Style" w:hAnsi="Bookman Old Style" w:cs="Times New Roman"/>
          <w:sz w:val="20"/>
          <w:szCs w:val="20"/>
        </w:rPr>
        <w:t>,</w:t>
      </w:r>
      <w:r w:rsidRPr="00B06F54">
        <w:rPr>
          <w:rFonts w:ascii="Bookman Old Style" w:hAnsi="Bookman Old Style" w:cs="Times New Roman"/>
          <w:sz w:val="20"/>
          <w:szCs w:val="20"/>
        </w:rPr>
        <w:t xml:space="preserve"> ces fonds pre</w:t>
      </w:r>
      <w:r w:rsidRPr="00B06F54">
        <w:rPr>
          <w:rFonts w:ascii="Bookman Old Style" w:hAnsi="Bookman Old Style" w:cs="Times New Roman"/>
          <w:sz w:val="20"/>
          <w:szCs w:val="20"/>
        </w:rPr>
        <w:t>n</w:t>
      </w:r>
      <w:r w:rsidRPr="00B06F54">
        <w:rPr>
          <w:rFonts w:ascii="Bookman Old Style" w:hAnsi="Bookman Old Style" w:cs="Times New Roman"/>
          <w:sz w:val="20"/>
          <w:szCs w:val="20"/>
        </w:rPr>
        <w:t>nent plus ou moins d'importance, parfois en section de fonctionnement, mais sur</w:t>
      </w:r>
      <w:r w:rsidR="00B74E78" w:rsidRPr="00B06F54">
        <w:rPr>
          <w:rFonts w:ascii="Bookman Old Style" w:hAnsi="Bookman Old Style" w:cs="Times New Roman"/>
          <w:sz w:val="20"/>
          <w:szCs w:val="20"/>
        </w:rPr>
        <w:t>t</w:t>
      </w:r>
      <w:r w:rsidRPr="00B06F54">
        <w:rPr>
          <w:rFonts w:ascii="Bookman Old Style" w:hAnsi="Bookman Old Style" w:cs="Times New Roman"/>
          <w:sz w:val="20"/>
          <w:szCs w:val="20"/>
        </w:rPr>
        <w:t>out en section d'investissement.</w:t>
      </w:r>
      <w:r w:rsidR="0008736D" w:rsidRPr="0008736D">
        <w:rPr>
          <w:rFonts w:ascii="Bookman Old Style" w:hAnsi="Bookman Old Style" w:cs="Times New Roman"/>
          <w:sz w:val="20"/>
          <w:szCs w:val="20"/>
        </w:rPr>
        <w:t xml:space="preserve"> </w:t>
      </w:r>
      <w:r w:rsidR="0008736D" w:rsidRPr="00B06F54">
        <w:rPr>
          <w:rFonts w:ascii="Bookman Old Style" w:hAnsi="Bookman Old Style" w:cs="Times New Roman"/>
          <w:sz w:val="20"/>
          <w:szCs w:val="20"/>
        </w:rPr>
        <w:t xml:space="preserve">En recettes comme en dépenses, il faut pouvoir analyser </w:t>
      </w:r>
      <w:r w:rsidR="0008736D">
        <w:rPr>
          <w:rFonts w:ascii="Bookman Old Style" w:hAnsi="Bookman Old Style" w:cs="Times New Roman"/>
          <w:sz w:val="20"/>
          <w:szCs w:val="20"/>
        </w:rPr>
        <w:t>les</w:t>
      </w:r>
      <w:r w:rsidR="0008736D" w:rsidRPr="00B06F54">
        <w:rPr>
          <w:rFonts w:ascii="Bookman Old Style" w:hAnsi="Bookman Old Style" w:cs="Times New Roman"/>
          <w:sz w:val="20"/>
          <w:szCs w:val="20"/>
        </w:rPr>
        <w:t xml:space="preserve"> évolutions "hors ge</w:t>
      </w:r>
      <w:r w:rsidR="0008736D" w:rsidRPr="00B06F54">
        <w:rPr>
          <w:rFonts w:ascii="Bookman Old Style" w:hAnsi="Bookman Old Style" w:cs="Times New Roman"/>
          <w:sz w:val="20"/>
          <w:szCs w:val="20"/>
        </w:rPr>
        <w:t>s</w:t>
      </w:r>
      <w:r w:rsidR="0008736D" w:rsidRPr="00B06F54">
        <w:rPr>
          <w:rFonts w:ascii="Bookman Old Style" w:hAnsi="Bookman Old Style" w:cs="Times New Roman"/>
          <w:sz w:val="20"/>
          <w:szCs w:val="20"/>
        </w:rPr>
        <w:t>tion des fonds européens".</w:t>
      </w:r>
      <w:r w:rsidRPr="00B06F54">
        <w:rPr>
          <w:rFonts w:ascii="Bookman Old Style" w:hAnsi="Bookman Old Style" w:cs="Times New Roman"/>
          <w:sz w:val="20"/>
          <w:szCs w:val="20"/>
        </w:rPr>
        <w:t xml:space="preserve"> </w:t>
      </w:r>
      <w:r w:rsidR="0008736D">
        <w:rPr>
          <w:rFonts w:ascii="Bookman Old Style" w:hAnsi="Bookman Old Style" w:cs="Times New Roman"/>
          <w:sz w:val="20"/>
          <w:szCs w:val="20"/>
        </w:rPr>
        <w:t>Pour certaines régions, ces fonds sont enregistrés dans le budget princ</w:t>
      </w:r>
      <w:r w:rsidR="0008736D">
        <w:rPr>
          <w:rFonts w:ascii="Bookman Old Style" w:hAnsi="Bookman Old Style" w:cs="Times New Roman"/>
          <w:sz w:val="20"/>
          <w:szCs w:val="20"/>
        </w:rPr>
        <w:t>i</w:t>
      </w:r>
      <w:r w:rsidR="0008736D">
        <w:rPr>
          <w:rFonts w:ascii="Bookman Old Style" w:hAnsi="Bookman Old Style" w:cs="Times New Roman"/>
          <w:sz w:val="20"/>
          <w:szCs w:val="20"/>
        </w:rPr>
        <w:t xml:space="preserve">pal, pour d’autres, dans un budget annexe spécifiquement dédié. C’est pourquoi nous avons retenu l’ensemble des budgets pour cette étude. </w:t>
      </w:r>
    </w:p>
    <w:p w:rsidR="005C2285" w:rsidRPr="00B06F54" w:rsidRDefault="005C2285" w:rsidP="005C2285">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r w:rsidRPr="00B06F54">
        <w:rPr>
          <w:rFonts w:ascii="Bookman Old Style" w:hAnsi="Bookman Old Style" w:cs="Times New Roman"/>
          <w:sz w:val="20"/>
          <w:szCs w:val="20"/>
        </w:rPr>
        <w:t xml:space="preserve">L'importance relative des compétences transférées (transport) ou progressivement exercées (gestion des fonds européens) n'est pas la même pour les régions fusionnées (18 % des dépenses de fonctionnement) et pour les régions inchangées (11 %) </w:t>
      </w:r>
      <w:r w:rsidRPr="00B06F54">
        <w:rPr>
          <w:rFonts w:ascii="Bookman Old Style" w:hAnsi="Bookman Old Style" w:cs="Times New Roman"/>
          <w:i/>
          <w:sz w:val="20"/>
          <w:szCs w:val="20"/>
        </w:rPr>
        <w:t>(</w:t>
      </w:r>
      <w:proofErr w:type="gramStart"/>
      <w:r w:rsidRPr="00B06F54">
        <w:rPr>
          <w:rFonts w:ascii="Bookman Old Style" w:hAnsi="Bookman Old Style" w:cs="Times New Roman"/>
          <w:i/>
          <w:sz w:val="20"/>
          <w:szCs w:val="20"/>
        </w:rPr>
        <w:t>graphiques</w:t>
      </w:r>
      <w:proofErr w:type="gramEnd"/>
      <w:r w:rsidR="00B74E78" w:rsidRPr="00B06F54">
        <w:rPr>
          <w:rFonts w:ascii="Bookman Old Style" w:hAnsi="Bookman Old Style" w:cs="Times New Roman"/>
          <w:i/>
          <w:sz w:val="20"/>
          <w:szCs w:val="20"/>
        </w:rPr>
        <w:t xml:space="preserve"> E1</w:t>
      </w:r>
      <w:r w:rsidRPr="00B06F54">
        <w:rPr>
          <w:rFonts w:ascii="Bookman Old Style" w:hAnsi="Bookman Old Style" w:cs="Times New Roman"/>
          <w:i/>
          <w:sz w:val="20"/>
          <w:szCs w:val="20"/>
        </w:rPr>
        <w:t>)</w:t>
      </w:r>
      <w:r w:rsidRPr="00B06F54">
        <w:rPr>
          <w:rFonts w:ascii="Bookman Old Style" w:hAnsi="Bookman Old Style" w:cs="Times New Roman"/>
          <w:sz w:val="20"/>
          <w:szCs w:val="20"/>
        </w:rPr>
        <w:t>. Notamment, il n'y a pas eu de transfert de co</w:t>
      </w:r>
      <w:r w:rsidRPr="00B06F54">
        <w:rPr>
          <w:rFonts w:ascii="Bookman Old Style" w:hAnsi="Bookman Old Style" w:cs="Times New Roman"/>
          <w:sz w:val="20"/>
          <w:szCs w:val="20"/>
        </w:rPr>
        <w:t>m</w:t>
      </w:r>
      <w:r w:rsidRPr="00B06F54">
        <w:rPr>
          <w:rFonts w:ascii="Bookman Old Style" w:hAnsi="Bookman Old Style" w:cs="Times New Roman"/>
          <w:sz w:val="20"/>
          <w:szCs w:val="20"/>
        </w:rPr>
        <w:t xml:space="preserve">pétence transport pour l'Île-de-France, puisque l’ensemble des transports relève de la compétence du syndicat des transports d’Île-de-France (IDF mobilités, ex-STIF), auquel la région </w:t>
      </w:r>
      <w:r w:rsidR="00DA189B">
        <w:rPr>
          <w:rFonts w:ascii="Bookman Old Style" w:hAnsi="Bookman Old Style" w:cs="Times New Roman"/>
          <w:sz w:val="20"/>
          <w:szCs w:val="20"/>
        </w:rPr>
        <w:t xml:space="preserve">et </w:t>
      </w:r>
      <w:r w:rsidRPr="00B06F54">
        <w:rPr>
          <w:rFonts w:ascii="Bookman Old Style" w:hAnsi="Bookman Old Style" w:cs="Times New Roman"/>
          <w:sz w:val="20"/>
          <w:szCs w:val="20"/>
        </w:rPr>
        <w:t xml:space="preserve">les départements contribuent. Les dépenses de fonctionnement évoluent alors pour cette région très régulièrement, tandis que celles des autres régions inchangées bondissent à partir de 2017. Considérer le bloc des régions inchangées en intégrant l'Île-de-France, mais sans neutraliser les transferts de compétences, conduirait alors à biaiser considérablement l'analyse. </w:t>
      </w:r>
    </w:p>
    <w:p w:rsidR="005C2285" w:rsidRPr="00B06F54" w:rsidRDefault="005C2285" w:rsidP="005C2285">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r w:rsidRPr="00B06F54">
        <w:rPr>
          <w:rFonts w:ascii="Bookman Old Style" w:hAnsi="Bookman Old Style" w:cs="Times New Roman"/>
          <w:sz w:val="20"/>
          <w:szCs w:val="20"/>
        </w:rPr>
        <w:t>Hors transports transférés et gestion des fonds européens, l</w:t>
      </w:r>
      <w:r w:rsidR="00841150" w:rsidRPr="00B06F54">
        <w:rPr>
          <w:rFonts w:ascii="Bookman Old Style" w:hAnsi="Bookman Old Style" w:cs="Times New Roman"/>
          <w:sz w:val="20"/>
          <w:szCs w:val="20"/>
        </w:rPr>
        <w:t>e partage</w:t>
      </w:r>
      <w:r w:rsidRPr="00B06F54">
        <w:rPr>
          <w:rFonts w:ascii="Bookman Old Style" w:hAnsi="Bookman Old Style" w:cs="Times New Roman"/>
          <w:sz w:val="20"/>
          <w:szCs w:val="20"/>
        </w:rPr>
        <w:t xml:space="preserve"> des dépense de fonctionnement </w:t>
      </w:r>
      <w:r w:rsidR="00841150" w:rsidRPr="00B06F54">
        <w:rPr>
          <w:rFonts w:ascii="Bookman Old Style" w:hAnsi="Bookman Old Style" w:cs="Times New Roman"/>
          <w:sz w:val="20"/>
          <w:szCs w:val="20"/>
        </w:rPr>
        <w:t>entre</w:t>
      </w:r>
      <w:r w:rsidRPr="00B06F54">
        <w:rPr>
          <w:rFonts w:ascii="Bookman Old Style" w:hAnsi="Bookman Old Style" w:cs="Times New Roman"/>
          <w:sz w:val="20"/>
          <w:szCs w:val="20"/>
        </w:rPr>
        <w:t xml:space="preserve"> les différentes </w:t>
      </w:r>
      <w:r w:rsidR="00841150" w:rsidRPr="00B06F54">
        <w:rPr>
          <w:rFonts w:ascii="Bookman Old Style" w:hAnsi="Bookman Old Style" w:cs="Times New Roman"/>
          <w:sz w:val="20"/>
          <w:szCs w:val="20"/>
        </w:rPr>
        <w:t>compétences régionales</w:t>
      </w:r>
      <w:r w:rsidRPr="00B06F54">
        <w:rPr>
          <w:rFonts w:ascii="Bookman Old Style" w:hAnsi="Bookman Old Style" w:cs="Times New Roman"/>
          <w:sz w:val="20"/>
          <w:szCs w:val="20"/>
        </w:rPr>
        <w:t xml:space="preserve"> est quasiment l</w:t>
      </w:r>
      <w:r w:rsidR="00841150" w:rsidRPr="00B06F54">
        <w:rPr>
          <w:rFonts w:ascii="Bookman Old Style" w:hAnsi="Bookman Old Style" w:cs="Times New Roman"/>
          <w:sz w:val="20"/>
          <w:szCs w:val="20"/>
        </w:rPr>
        <w:t>e</w:t>
      </w:r>
      <w:r w:rsidRPr="00B06F54">
        <w:rPr>
          <w:rFonts w:ascii="Bookman Old Style" w:hAnsi="Bookman Old Style" w:cs="Times New Roman"/>
          <w:sz w:val="20"/>
          <w:szCs w:val="20"/>
        </w:rPr>
        <w:t xml:space="preserve"> même pour le groupe de régions fusio</w:t>
      </w:r>
      <w:r w:rsidRPr="00B06F54">
        <w:rPr>
          <w:rFonts w:ascii="Bookman Old Style" w:hAnsi="Bookman Old Style" w:cs="Times New Roman"/>
          <w:sz w:val="20"/>
          <w:szCs w:val="20"/>
        </w:rPr>
        <w:t>n</w:t>
      </w:r>
      <w:r w:rsidRPr="00B06F54">
        <w:rPr>
          <w:rFonts w:ascii="Bookman Old Style" w:hAnsi="Bookman Old Style" w:cs="Times New Roman"/>
          <w:sz w:val="20"/>
          <w:szCs w:val="20"/>
        </w:rPr>
        <w:t>nées et celui des régions inchangées : près de 30 % pour la formation professionnelle et l’apprentissage, autour de 25 % pour les transports, un peu plus de 20 % pour l’enseignement, le reste relevant de se</w:t>
      </w:r>
      <w:r w:rsidRPr="00B06F54">
        <w:rPr>
          <w:rFonts w:ascii="Bookman Old Style" w:hAnsi="Bookman Old Style" w:cs="Times New Roman"/>
          <w:sz w:val="20"/>
          <w:szCs w:val="20"/>
        </w:rPr>
        <w:t>r</w:t>
      </w:r>
      <w:r w:rsidRPr="00B06F54">
        <w:rPr>
          <w:rFonts w:ascii="Bookman Old Style" w:hAnsi="Bookman Old Style" w:cs="Times New Roman"/>
          <w:sz w:val="20"/>
          <w:szCs w:val="20"/>
        </w:rPr>
        <w:t>vices transversaux (autour de 15 %) ou de fonctions qui restent marginales (entre 3 % et 5 % pour la culture et le sport, ou pour le développement économique, et 1 % pour l’aménagement du territoire comme pour la santé et le social)</w:t>
      </w:r>
      <w:r w:rsidR="00B74E78" w:rsidRPr="00B06F54">
        <w:rPr>
          <w:rFonts w:ascii="Bookman Old Style" w:hAnsi="Bookman Old Style" w:cs="Times New Roman"/>
          <w:sz w:val="20"/>
          <w:szCs w:val="20"/>
        </w:rPr>
        <w:t xml:space="preserve"> </w:t>
      </w:r>
      <w:r w:rsidR="00B74E78" w:rsidRPr="00B06F54">
        <w:rPr>
          <w:rFonts w:ascii="Bookman Old Style" w:hAnsi="Bookman Old Style" w:cs="Times New Roman"/>
          <w:i/>
          <w:sz w:val="20"/>
          <w:szCs w:val="20"/>
        </w:rPr>
        <w:t>(graphiques E2)</w:t>
      </w:r>
      <w:r w:rsidRPr="00B06F54">
        <w:rPr>
          <w:rFonts w:ascii="Bookman Old Style" w:hAnsi="Bookman Old Style" w:cs="Times New Roman"/>
          <w:sz w:val="20"/>
          <w:szCs w:val="20"/>
        </w:rPr>
        <w:t xml:space="preserve">. </w:t>
      </w:r>
      <w:r w:rsidR="00841150" w:rsidRPr="00B06F54">
        <w:rPr>
          <w:rFonts w:ascii="Bookman Old Style" w:hAnsi="Bookman Old Style" w:cs="Times New Roman"/>
          <w:sz w:val="20"/>
          <w:szCs w:val="20"/>
        </w:rPr>
        <w:t>Cette répartition est très stable depuis 2015, mais sera profondément bouleversée à partir de l’exercice 2020 du fait de la loi n°2018-771 pour la liberté de choisir son avenir professionnel du 5 septembre 2018, qui transfère la compétence apprentissage des régions au monde professionnel (tandis que les régions conservent leur compétence en matière de fo</w:t>
      </w:r>
      <w:r w:rsidR="00841150" w:rsidRPr="00B06F54">
        <w:rPr>
          <w:rFonts w:ascii="Bookman Old Style" w:hAnsi="Bookman Old Style" w:cs="Times New Roman"/>
          <w:sz w:val="20"/>
          <w:szCs w:val="20"/>
        </w:rPr>
        <w:t>r</w:t>
      </w:r>
      <w:r w:rsidR="00841150" w:rsidRPr="00B06F54">
        <w:rPr>
          <w:rFonts w:ascii="Bookman Old Style" w:hAnsi="Bookman Old Style" w:cs="Times New Roman"/>
          <w:sz w:val="20"/>
          <w:szCs w:val="20"/>
        </w:rPr>
        <w:t>mation professionnelle).</w:t>
      </w:r>
    </w:p>
    <w:p w:rsidR="00841150" w:rsidRPr="00B06F54" w:rsidRDefault="00841150" w:rsidP="005C2285">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p>
    <w:p w:rsidR="00B74E78" w:rsidRPr="00B06F54" w:rsidRDefault="00B74E78" w:rsidP="00B74E78">
      <w:pPr>
        <w:pBdr>
          <w:top w:val="single" w:sz="4" w:space="1" w:color="auto"/>
          <w:left w:val="single" w:sz="4" w:space="1" w:color="auto"/>
          <w:bottom w:val="single" w:sz="4" w:space="1" w:color="auto"/>
          <w:right w:val="single" w:sz="4" w:space="1" w:color="auto"/>
        </w:pBdr>
        <w:tabs>
          <w:tab w:val="left" w:pos="5954"/>
        </w:tabs>
        <w:jc w:val="center"/>
        <w:rPr>
          <w:rFonts w:ascii="Bookman Old Style" w:hAnsi="Bookman Old Style" w:cs="Times New Roman"/>
          <w:sz w:val="20"/>
          <w:szCs w:val="20"/>
        </w:rPr>
      </w:pPr>
      <w:r w:rsidRPr="00B06F54">
        <w:rPr>
          <w:rFonts w:ascii="Bookman Old Style" w:hAnsi="Bookman Old Style" w:cs="Times New Roman"/>
          <w:sz w:val="20"/>
          <w:szCs w:val="20"/>
        </w:rPr>
        <w:t>Graphique E1 - Dépenses de fonctionnement selon les fonctions de destination (en Md€)</w:t>
      </w:r>
    </w:p>
    <w:p w:rsidR="00B74E78" w:rsidRPr="00B06F54" w:rsidRDefault="00B74E78" w:rsidP="00B74E78">
      <w:pPr>
        <w:pBdr>
          <w:top w:val="single" w:sz="4" w:space="1" w:color="auto"/>
          <w:left w:val="single" w:sz="4" w:space="1" w:color="auto"/>
          <w:bottom w:val="single" w:sz="4" w:space="1" w:color="auto"/>
          <w:right w:val="single" w:sz="4" w:space="1" w:color="auto"/>
        </w:pBdr>
        <w:tabs>
          <w:tab w:val="left" w:pos="5954"/>
        </w:tabs>
        <w:ind w:firstLine="851"/>
        <w:rPr>
          <w:rFonts w:ascii="Bookman Old Style" w:hAnsi="Bookman Old Style" w:cs="Times New Roman"/>
          <w:sz w:val="20"/>
          <w:szCs w:val="20"/>
        </w:rPr>
      </w:pPr>
      <w:r w:rsidRPr="00B06F54">
        <w:rPr>
          <w:rFonts w:ascii="Bookman Old Style" w:hAnsi="Bookman Old Style" w:cs="Times New Roman"/>
          <w:sz w:val="20"/>
          <w:szCs w:val="20"/>
        </w:rPr>
        <w:t>Régions fusionnées</w:t>
      </w:r>
      <w:r w:rsidRPr="00B06F54">
        <w:rPr>
          <w:rFonts w:ascii="Bookman Old Style" w:hAnsi="Bookman Old Style" w:cs="Times New Roman"/>
          <w:sz w:val="20"/>
          <w:szCs w:val="20"/>
        </w:rPr>
        <w:tab/>
        <w:t>Régions inchangées</w:t>
      </w:r>
    </w:p>
    <w:p w:rsidR="00B74E78" w:rsidRPr="00B06F54" w:rsidRDefault="008D7A0A" w:rsidP="005C2285">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r w:rsidRPr="008D7A0A">
        <w:rPr>
          <w:noProof/>
          <w:szCs w:val="20"/>
          <w:lang w:eastAsia="fr-FR"/>
        </w:rPr>
        <w:drawing>
          <wp:inline distT="0" distB="0" distL="0" distR="0">
            <wp:extent cx="3160644" cy="2104173"/>
            <wp:effectExtent l="19050" t="0" r="1656"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162873" cy="2105657"/>
                    </a:xfrm>
                    <a:prstGeom prst="rect">
                      <a:avLst/>
                    </a:prstGeom>
                    <a:noFill/>
                    <a:ln w="9525">
                      <a:noFill/>
                      <a:miter lim="800000"/>
                      <a:headEnd/>
                      <a:tailEnd/>
                    </a:ln>
                  </pic:spPr>
                </pic:pic>
              </a:graphicData>
            </a:graphic>
          </wp:inline>
        </w:drawing>
      </w:r>
      <w:r w:rsidR="00B74E78" w:rsidRPr="00B06F54">
        <w:rPr>
          <w:rFonts w:ascii="Bookman Old Style" w:hAnsi="Bookman Old Style" w:cs="Times New Roman"/>
          <w:sz w:val="20"/>
          <w:szCs w:val="20"/>
        </w:rPr>
        <w:t xml:space="preserve"> </w:t>
      </w:r>
      <w:r w:rsidRPr="008D7A0A">
        <w:rPr>
          <w:noProof/>
          <w:szCs w:val="20"/>
          <w:lang w:eastAsia="fr-FR"/>
        </w:rPr>
        <w:drawing>
          <wp:inline distT="0" distB="0" distL="0" distR="0">
            <wp:extent cx="3160202" cy="2094674"/>
            <wp:effectExtent l="19050" t="0" r="2098"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161883" cy="2095788"/>
                    </a:xfrm>
                    <a:prstGeom prst="rect">
                      <a:avLst/>
                    </a:prstGeom>
                    <a:noFill/>
                    <a:ln w="9525">
                      <a:noFill/>
                      <a:miter lim="800000"/>
                      <a:headEnd/>
                      <a:tailEnd/>
                    </a:ln>
                  </pic:spPr>
                </pic:pic>
              </a:graphicData>
            </a:graphic>
          </wp:inline>
        </w:drawing>
      </w:r>
    </w:p>
    <w:p w:rsidR="00DF0588" w:rsidRDefault="00DF0588" w:rsidP="00B74E78">
      <w:pPr>
        <w:pBdr>
          <w:top w:val="single" w:sz="4" w:space="1" w:color="auto"/>
          <w:left w:val="single" w:sz="4" w:space="1" w:color="auto"/>
          <w:bottom w:val="single" w:sz="4" w:space="1" w:color="auto"/>
          <w:right w:val="single" w:sz="4" w:space="1" w:color="auto"/>
        </w:pBdr>
        <w:tabs>
          <w:tab w:val="left" w:pos="5954"/>
        </w:tabs>
        <w:spacing w:after="0" w:line="240" w:lineRule="auto"/>
        <w:jc w:val="center"/>
        <w:rPr>
          <w:rFonts w:ascii="Bookman Old Style" w:hAnsi="Bookman Old Style" w:cs="Times New Roman"/>
          <w:sz w:val="20"/>
          <w:szCs w:val="20"/>
        </w:rPr>
      </w:pPr>
    </w:p>
    <w:p w:rsidR="00B74E78" w:rsidRPr="00B06F54" w:rsidRDefault="00B74E78" w:rsidP="00B74E78">
      <w:pPr>
        <w:pBdr>
          <w:top w:val="single" w:sz="4" w:space="1" w:color="auto"/>
          <w:left w:val="single" w:sz="4" w:space="1" w:color="auto"/>
          <w:bottom w:val="single" w:sz="4" w:space="1" w:color="auto"/>
          <w:right w:val="single" w:sz="4" w:space="1" w:color="auto"/>
        </w:pBdr>
        <w:tabs>
          <w:tab w:val="left" w:pos="5954"/>
        </w:tabs>
        <w:spacing w:after="0" w:line="240" w:lineRule="auto"/>
        <w:jc w:val="center"/>
        <w:rPr>
          <w:rFonts w:ascii="Bookman Old Style" w:hAnsi="Bookman Old Style" w:cs="Times New Roman"/>
          <w:sz w:val="20"/>
          <w:szCs w:val="20"/>
        </w:rPr>
      </w:pPr>
      <w:r w:rsidRPr="00B06F54">
        <w:rPr>
          <w:rFonts w:ascii="Bookman Old Style" w:hAnsi="Bookman Old Style" w:cs="Times New Roman"/>
          <w:sz w:val="20"/>
          <w:szCs w:val="20"/>
        </w:rPr>
        <w:t xml:space="preserve">Graphique E2 - Répartition des dépenses de fonctionnement </w:t>
      </w:r>
    </w:p>
    <w:p w:rsidR="00B74E78" w:rsidRPr="00B06F54" w:rsidRDefault="00B74E78" w:rsidP="00B74E78">
      <w:pPr>
        <w:pBdr>
          <w:top w:val="single" w:sz="4" w:space="1" w:color="auto"/>
          <w:left w:val="single" w:sz="4" w:space="1" w:color="auto"/>
          <w:bottom w:val="single" w:sz="4" w:space="1" w:color="auto"/>
          <w:right w:val="single" w:sz="4" w:space="1" w:color="auto"/>
        </w:pBdr>
        <w:tabs>
          <w:tab w:val="left" w:pos="5954"/>
        </w:tabs>
        <w:jc w:val="center"/>
        <w:rPr>
          <w:rFonts w:ascii="Bookman Old Style" w:hAnsi="Bookman Old Style" w:cs="Times New Roman"/>
          <w:sz w:val="20"/>
          <w:szCs w:val="20"/>
        </w:rPr>
      </w:pPr>
      <w:proofErr w:type="gramStart"/>
      <w:r w:rsidRPr="00B06F54">
        <w:rPr>
          <w:rFonts w:ascii="Bookman Old Style" w:hAnsi="Bookman Old Style" w:cs="Times New Roman"/>
          <w:sz w:val="20"/>
          <w:szCs w:val="20"/>
        </w:rPr>
        <w:t>en</w:t>
      </w:r>
      <w:proofErr w:type="gramEnd"/>
      <w:r w:rsidRPr="00B06F54">
        <w:rPr>
          <w:rFonts w:ascii="Bookman Old Style" w:hAnsi="Bookman Old Style" w:cs="Times New Roman"/>
          <w:sz w:val="20"/>
          <w:szCs w:val="20"/>
        </w:rPr>
        <w:t xml:space="preserve"> % du total hors transports transférés et gestion des fonds européens</w:t>
      </w:r>
    </w:p>
    <w:p w:rsidR="00B74E78" w:rsidRPr="00B06F54" w:rsidRDefault="00B74E78" w:rsidP="00B74E78">
      <w:pPr>
        <w:pBdr>
          <w:top w:val="single" w:sz="4" w:space="1" w:color="auto"/>
          <w:left w:val="single" w:sz="4" w:space="1" w:color="auto"/>
          <w:bottom w:val="single" w:sz="4" w:space="1" w:color="auto"/>
          <w:right w:val="single" w:sz="4" w:space="1" w:color="auto"/>
        </w:pBdr>
        <w:tabs>
          <w:tab w:val="left" w:pos="5954"/>
        </w:tabs>
        <w:ind w:firstLine="851"/>
        <w:rPr>
          <w:rFonts w:ascii="Bookman Old Style" w:hAnsi="Bookman Old Style" w:cs="Times New Roman"/>
          <w:sz w:val="20"/>
          <w:szCs w:val="20"/>
        </w:rPr>
      </w:pPr>
      <w:r w:rsidRPr="00B06F54">
        <w:rPr>
          <w:rFonts w:ascii="Bookman Old Style" w:hAnsi="Bookman Old Style" w:cs="Times New Roman"/>
          <w:sz w:val="20"/>
          <w:szCs w:val="20"/>
        </w:rPr>
        <w:t>Régions fusionnées</w:t>
      </w:r>
      <w:r w:rsidRPr="00B06F54">
        <w:rPr>
          <w:rFonts w:ascii="Bookman Old Style" w:hAnsi="Bookman Old Style" w:cs="Times New Roman"/>
          <w:sz w:val="20"/>
          <w:szCs w:val="20"/>
        </w:rPr>
        <w:tab/>
        <w:t>Régions inchangées</w:t>
      </w:r>
    </w:p>
    <w:p w:rsidR="00B74E78" w:rsidRPr="00B06F54" w:rsidRDefault="008D7A0A" w:rsidP="00B74E78">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r w:rsidRPr="008D7A0A">
        <w:rPr>
          <w:noProof/>
          <w:szCs w:val="20"/>
          <w:lang w:eastAsia="fr-FR"/>
        </w:rPr>
        <w:drawing>
          <wp:inline distT="0" distB="0" distL="0" distR="0">
            <wp:extent cx="3220278" cy="2134494"/>
            <wp:effectExtent l="1905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224081" cy="2137015"/>
                    </a:xfrm>
                    <a:prstGeom prst="rect">
                      <a:avLst/>
                    </a:prstGeom>
                    <a:noFill/>
                    <a:ln w="9525">
                      <a:noFill/>
                      <a:miter lim="800000"/>
                      <a:headEnd/>
                      <a:tailEnd/>
                    </a:ln>
                  </pic:spPr>
                </pic:pic>
              </a:graphicData>
            </a:graphic>
          </wp:inline>
        </w:drawing>
      </w:r>
      <w:r w:rsidR="00B74E78" w:rsidRPr="00B06F54">
        <w:rPr>
          <w:rFonts w:ascii="Bookman Old Style" w:hAnsi="Bookman Old Style" w:cs="Times New Roman"/>
          <w:sz w:val="20"/>
          <w:szCs w:val="20"/>
        </w:rPr>
        <w:t xml:space="preserve"> </w:t>
      </w:r>
      <w:r w:rsidRPr="008D7A0A">
        <w:rPr>
          <w:noProof/>
          <w:szCs w:val="20"/>
          <w:lang w:eastAsia="fr-FR"/>
        </w:rPr>
        <w:drawing>
          <wp:inline distT="0" distB="0" distL="0" distR="0">
            <wp:extent cx="3160202" cy="2094677"/>
            <wp:effectExtent l="19050" t="0" r="2098"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164028" cy="2097213"/>
                    </a:xfrm>
                    <a:prstGeom prst="rect">
                      <a:avLst/>
                    </a:prstGeom>
                    <a:noFill/>
                    <a:ln w="9525">
                      <a:noFill/>
                      <a:miter lim="800000"/>
                      <a:headEnd/>
                      <a:tailEnd/>
                    </a:ln>
                  </pic:spPr>
                </pic:pic>
              </a:graphicData>
            </a:graphic>
          </wp:inline>
        </w:drawing>
      </w:r>
    </w:p>
    <w:p w:rsidR="00B74E78" w:rsidRPr="00B06F54" w:rsidRDefault="00B74E78" w:rsidP="005C2285">
      <w:pPr>
        <w:pBdr>
          <w:top w:val="single" w:sz="4" w:space="1" w:color="auto"/>
          <w:left w:val="single" w:sz="4" w:space="1" w:color="auto"/>
          <w:bottom w:val="single" w:sz="4" w:space="1" w:color="auto"/>
          <w:right w:val="single" w:sz="4" w:space="1" w:color="auto"/>
        </w:pBdr>
        <w:jc w:val="both"/>
        <w:rPr>
          <w:rFonts w:ascii="Bookman Old Style" w:hAnsi="Bookman Old Style" w:cs="Times New Roman"/>
          <w:sz w:val="20"/>
          <w:szCs w:val="20"/>
        </w:rPr>
      </w:pPr>
      <w:r w:rsidRPr="00892242">
        <w:rPr>
          <w:rFonts w:ascii="Bookman Old Style" w:hAnsi="Bookman Old Style" w:cs="Times New Roman"/>
          <w:i/>
          <w:sz w:val="18"/>
          <w:szCs w:val="20"/>
        </w:rPr>
        <w:t>Source : DGCL. Données DGFIP, compte de gestion, budgets principaux et annexes, opérations réelles.</w:t>
      </w:r>
    </w:p>
    <w:p w:rsidR="004E4342" w:rsidRPr="00607DB6" w:rsidRDefault="004E4342">
      <w:pPr>
        <w:rPr>
          <w:rFonts w:ascii="Bookman Old Style" w:hAnsi="Bookman Old Style"/>
        </w:rPr>
      </w:pPr>
    </w:p>
    <w:p w:rsidR="00991680" w:rsidRPr="00DA189B" w:rsidRDefault="00991680" w:rsidP="00892242">
      <w:pPr>
        <w:pBdr>
          <w:top w:val="single" w:sz="4" w:space="1" w:color="auto"/>
          <w:left w:val="single" w:sz="4" w:space="1" w:color="auto"/>
          <w:bottom w:val="single" w:sz="4" w:space="1" w:color="auto"/>
          <w:right w:val="single" w:sz="4" w:space="1" w:color="auto"/>
        </w:pBdr>
        <w:spacing w:after="0" w:line="276" w:lineRule="auto"/>
        <w:jc w:val="center"/>
        <w:rPr>
          <w:rFonts w:ascii="Bookman Old Style" w:hAnsi="Bookman Old Style" w:cs="Times New Roman"/>
          <w:b/>
          <w:sz w:val="20"/>
          <w:szCs w:val="20"/>
        </w:rPr>
      </w:pPr>
    </w:p>
    <w:p w:rsidR="005C2285" w:rsidRPr="00DA189B" w:rsidRDefault="004E4342" w:rsidP="00892242">
      <w:pPr>
        <w:pBdr>
          <w:top w:val="single" w:sz="4" w:space="1" w:color="auto"/>
          <w:left w:val="single" w:sz="4" w:space="1" w:color="auto"/>
          <w:bottom w:val="single" w:sz="4" w:space="1" w:color="auto"/>
          <w:right w:val="single" w:sz="4" w:space="1" w:color="auto"/>
        </w:pBdr>
        <w:spacing w:after="0" w:line="276" w:lineRule="auto"/>
        <w:jc w:val="center"/>
        <w:rPr>
          <w:rFonts w:ascii="Bookman Old Style" w:hAnsi="Bookman Old Style" w:cs="Times New Roman"/>
          <w:b/>
          <w:sz w:val="20"/>
          <w:szCs w:val="20"/>
        </w:rPr>
      </w:pPr>
      <w:r w:rsidRPr="00DA189B">
        <w:rPr>
          <w:rFonts w:ascii="Bookman Old Style" w:hAnsi="Bookman Old Style" w:cs="Times New Roman"/>
          <w:b/>
          <w:sz w:val="20"/>
          <w:szCs w:val="20"/>
        </w:rPr>
        <w:t xml:space="preserve">Encadré 2 - </w:t>
      </w:r>
      <w:r w:rsidR="00991680" w:rsidRPr="00DA189B">
        <w:rPr>
          <w:rFonts w:ascii="Bookman Old Style" w:hAnsi="Bookman Old Style" w:cs="Times New Roman"/>
          <w:b/>
          <w:sz w:val="20"/>
          <w:szCs w:val="20"/>
        </w:rPr>
        <w:t>Ratios financiers : q</w:t>
      </w:r>
      <w:r w:rsidRPr="00DA189B">
        <w:rPr>
          <w:rFonts w:ascii="Bookman Old Style" w:hAnsi="Bookman Old Style" w:cs="Times New Roman"/>
          <w:b/>
          <w:sz w:val="20"/>
          <w:szCs w:val="20"/>
        </w:rPr>
        <w:t xml:space="preserve">uels traitements des </w:t>
      </w:r>
      <w:r w:rsidR="00991680" w:rsidRPr="00DA189B">
        <w:rPr>
          <w:rFonts w:ascii="Bookman Old Style" w:hAnsi="Bookman Old Style" w:cs="Times New Roman"/>
          <w:b/>
          <w:sz w:val="20"/>
          <w:szCs w:val="20"/>
        </w:rPr>
        <w:t>compétences transférées</w:t>
      </w:r>
      <w:r w:rsidRPr="00DA189B">
        <w:rPr>
          <w:rFonts w:ascii="Bookman Old Style" w:hAnsi="Bookman Old Style" w:cs="Times New Roman"/>
          <w:b/>
          <w:sz w:val="20"/>
          <w:szCs w:val="20"/>
        </w:rPr>
        <w:t> ?</w:t>
      </w:r>
    </w:p>
    <w:p w:rsidR="004E4342" w:rsidRPr="00DA189B" w:rsidRDefault="004E4342"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p>
    <w:p w:rsidR="00257D67" w:rsidRPr="00DA189B" w:rsidRDefault="009E177A"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cs="Times New Roman"/>
          <w:sz w:val="20"/>
          <w:szCs w:val="20"/>
          <w:u w:val="single"/>
        </w:rPr>
        <w:t>L’épargne brute (EB</w:t>
      </w:r>
      <w:r w:rsidRPr="00DA189B">
        <w:rPr>
          <w:rFonts w:ascii="Bookman Old Style" w:hAnsi="Bookman Old Style" w:cs="Times New Roman"/>
          <w:sz w:val="20"/>
          <w:szCs w:val="20"/>
        </w:rPr>
        <w:t>) est égale à la différence entre les dépenses de fonctionnement (DF) et les recettes de fonctionnement (RF). Pour calculer une épargne brute neutralisée de l’évolution des transferts de compétences transport des départements</w:t>
      </w:r>
      <w:r w:rsidR="00EF4FC3" w:rsidRPr="00DA189B">
        <w:rPr>
          <w:rFonts w:ascii="Bookman Old Style" w:hAnsi="Bookman Old Style" w:cs="Times New Roman"/>
          <w:sz w:val="20"/>
          <w:szCs w:val="20"/>
        </w:rPr>
        <w:t xml:space="preserve"> (TT)</w:t>
      </w:r>
      <w:r w:rsidRPr="00DA189B">
        <w:rPr>
          <w:rFonts w:ascii="Bookman Old Style" w:hAnsi="Bookman Old Style" w:cs="Times New Roman"/>
          <w:sz w:val="20"/>
          <w:szCs w:val="20"/>
        </w:rPr>
        <w:t>, et des montants correspondant à la gestion des fonds européens</w:t>
      </w:r>
      <w:r w:rsidR="00EF4FC3" w:rsidRPr="00DA189B">
        <w:rPr>
          <w:rFonts w:ascii="Bookman Old Style" w:hAnsi="Bookman Old Style" w:cs="Times New Roman"/>
          <w:sz w:val="20"/>
          <w:szCs w:val="20"/>
        </w:rPr>
        <w:t xml:space="preserve"> (GFE)</w:t>
      </w:r>
      <w:r w:rsidRPr="00DA189B">
        <w:rPr>
          <w:rFonts w:ascii="Bookman Old Style" w:hAnsi="Bookman Old Style" w:cs="Times New Roman"/>
          <w:sz w:val="20"/>
          <w:szCs w:val="20"/>
        </w:rPr>
        <w:t>, il faut enlever aux dépenses et aux recettes ce qui correspond à ces fonctions. La ve</w:t>
      </w:r>
      <w:r w:rsidRPr="00DA189B">
        <w:rPr>
          <w:rFonts w:ascii="Bookman Old Style" w:hAnsi="Bookman Old Style" w:cs="Times New Roman"/>
          <w:sz w:val="20"/>
          <w:szCs w:val="20"/>
        </w:rPr>
        <w:t>n</w:t>
      </w:r>
      <w:r w:rsidRPr="00DA189B">
        <w:rPr>
          <w:rFonts w:ascii="Bookman Old Style" w:hAnsi="Bookman Old Style" w:cs="Times New Roman"/>
          <w:sz w:val="20"/>
          <w:szCs w:val="20"/>
        </w:rPr>
        <w:t>tilation fonctionnelle de</w:t>
      </w:r>
      <w:r w:rsidR="00E7356E" w:rsidRPr="00DA189B">
        <w:rPr>
          <w:rFonts w:ascii="Bookman Old Style" w:hAnsi="Bookman Old Style" w:cs="Times New Roman"/>
          <w:sz w:val="20"/>
          <w:szCs w:val="20"/>
        </w:rPr>
        <w:t xml:space="preserve"> ce</w:t>
      </w:r>
      <w:r w:rsidRPr="00DA189B">
        <w:rPr>
          <w:rFonts w:ascii="Bookman Old Style" w:hAnsi="Bookman Old Style" w:cs="Times New Roman"/>
          <w:sz w:val="20"/>
          <w:szCs w:val="20"/>
        </w:rPr>
        <w:t>s dépenses</w:t>
      </w:r>
      <w:r w:rsidR="00E7356E" w:rsidRPr="00DA189B">
        <w:rPr>
          <w:rFonts w:ascii="Bookman Old Style" w:hAnsi="Bookman Old Style" w:cs="Times New Roman"/>
          <w:sz w:val="20"/>
          <w:szCs w:val="20"/>
        </w:rPr>
        <w:t xml:space="preserve"> (DEP_TT et DEP_GFE)</w:t>
      </w:r>
      <w:r w:rsidRPr="00DA189B">
        <w:rPr>
          <w:rFonts w:ascii="Bookman Old Style" w:hAnsi="Bookman Old Style" w:cs="Times New Roman"/>
          <w:sz w:val="20"/>
          <w:szCs w:val="20"/>
        </w:rPr>
        <w:t xml:space="preserve"> est correctement évaluée dans les comptes de gestion. Les recettes ne sont en revanche pas ventilées de façon aussi précise et reste</w:t>
      </w:r>
      <w:r w:rsidR="00305934" w:rsidRPr="00DA189B">
        <w:rPr>
          <w:rFonts w:ascii="Bookman Old Style" w:hAnsi="Bookman Old Style" w:cs="Times New Roman"/>
          <w:sz w:val="20"/>
          <w:szCs w:val="20"/>
        </w:rPr>
        <w:t>nt</w:t>
      </w:r>
      <w:r w:rsidRPr="00DA189B">
        <w:rPr>
          <w:rFonts w:ascii="Bookman Old Style" w:hAnsi="Bookman Old Style" w:cs="Times New Roman"/>
          <w:sz w:val="20"/>
          <w:szCs w:val="20"/>
        </w:rPr>
        <w:t xml:space="preserve"> très souvent considérée</w:t>
      </w:r>
      <w:r w:rsidR="00305934" w:rsidRPr="00DA189B">
        <w:rPr>
          <w:rFonts w:ascii="Bookman Old Style" w:hAnsi="Bookman Old Style" w:cs="Times New Roman"/>
          <w:sz w:val="20"/>
          <w:szCs w:val="20"/>
        </w:rPr>
        <w:t>s</w:t>
      </w:r>
      <w:r w:rsidRPr="00DA189B">
        <w:rPr>
          <w:rFonts w:ascii="Bookman Old Style" w:hAnsi="Bookman Old Style" w:cs="Times New Roman"/>
          <w:sz w:val="20"/>
          <w:szCs w:val="20"/>
        </w:rPr>
        <w:t xml:space="preserve"> comme « non ventilable</w:t>
      </w:r>
      <w:r w:rsidR="00305934" w:rsidRPr="00DA189B">
        <w:rPr>
          <w:rFonts w:ascii="Bookman Old Style" w:hAnsi="Bookman Old Style" w:cs="Times New Roman"/>
          <w:sz w:val="20"/>
          <w:szCs w:val="20"/>
        </w:rPr>
        <w:t>s</w:t>
      </w:r>
      <w:r w:rsidRPr="00DA189B">
        <w:rPr>
          <w:rFonts w:ascii="Bookman Old Style" w:hAnsi="Bookman Old Style" w:cs="Times New Roman"/>
          <w:sz w:val="20"/>
          <w:szCs w:val="20"/>
        </w:rPr>
        <w:t xml:space="preserve"> » ou affectées à des « opérations transversales ». Si on n’enlève que les recettes </w:t>
      </w:r>
      <w:r w:rsidR="00305934" w:rsidRPr="00DA189B">
        <w:rPr>
          <w:rFonts w:ascii="Bookman Old Style" w:hAnsi="Bookman Old Style" w:cs="Times New Roman"/>
          <w:sz w:val="20"/>
          <w:szCs w:val="20"/>
        </w:rPr>
        <w:t>ventilées dans les</w:t>
      </w:r>
      <w:r w:rsidRPr="00DA189B">
        <w:rPr>
          <w:rFonts w:ascii="Bookman Old Style" w:hAnsi="Bookman Old Style" w:cs="Times New Roman"/>
          <w:sz w:val="20"/>
          <w:szCs w:val="20"/>
        </w:rPr>
        <w:t xml:space="preserve"> fonctions transport transféré</w:t>
      </w:r>
      <w:r w:rsidR="00DF0588">
        <w:rPr>
          <w:rFonts w:ascii="Bookman Old Style" w:hAnsi="Bookman Old Style" w:cs="Times New Roman"/>
          <w:sz w:val="20"/>
          <w:szCs w:val="20"/>
        </w:rPr>
        <w:t>e</w:t>
      </w:r>
      <w:r w:rsidRPr="00DA189B">
        <w:rPr>
          <w:rFonts w:ascii="Bookman Old Style" w:hAnsi="Bookman Old Style" w:cs="Times New Roman"/>
          <w:sz w:val="20"/>
          <w:szCs w:val="20"/>
        </w:rPr>
        <w:t xml:space="preserve">s </w:t>
      </w:r>
      <w:r w:rsidR="00EF4FC3" w:rsidRPr="00DA189B">
        <w:rPr>
          <w:rFonts w:ascii="Bookman Old Style" w:hAnsi="Bookman Old Style" w:cs="Times New Roman"/>
          <w:sz w:val="20"/>
          <w:szCs w:val="20"/>
        </w:rPr>
        <w:t xml:space="preserve">(REC_TT) </w:t>
      </w:r>
      <w:r w:rsidRPr="00DA189B">
        <w:rPr>
          <w:rFonts w:ascii="Bookman Old Style" w:hAnsi="Bookman Old Style" w:cs="Times New Roman"/>
          <w:sz w:val="20"/>
          <w:szCs w:val="20"/>
        </w:rPr>
        <w:t>et gestion des fonds européens</w:t>
      </w:r>
      <w:r w:rsidR="00305934" w:rsidRPr="00DA189B">
        <w:rPr>
          <w:rFonts w:ascii="Bookman Old Style" w:hAnsi="Bookman Old Style" w:cs="Times New Roman"/>
          <w:sz w:val="20"/>
          <w:szCs w:val="20"/>
        </w:rPr>
        <w:t xml:space="preserve"> dans les comptes de gestion</w:t>
      </w:r>
      <w:r w:rsidR="00EF4FC3" w:rsidRPr="00DA189B">
        <w:rPr>
          <w:rFonts w:ascii="Bookman Old Style" w:hAnsi="Bookman Old Style" w:cs="Times New Roman"/>
          <w:sz w:val="20"/>
          <w:szCs w:val="20"/>
        </w:rPr>
        <w:t xml:space="preserve"> (REC_GFE)</w:t>
      </w:r>
      <w:r w:rsidRPr="00DA189B">
        <w:rPr>
          <w:rFonts w:ascii="Bookman Old Style" w:hAnsi="Bookman Old Style" w:cs="Times New Roman"/>
          <w:sz w:val="20"/>
          <w:szCs w:val="20"/>
        </w:rPr>
        <w:t>, on enlève alors un montant très inférieur à celui qu’on enlève aux dépenses</w:t>
      </w:r>
      <w:r w:rsidR="00DA189B">
        <w:rPr>
          <w:rFonts w:ascii="Bookman Old Style" w:hAnsi="Bookman Old Style" w:cs="Times New Roman"/>
          <w:sz w:val="20"/>
          <w:szCs w:val="20"/>
        </w:rPr>
        <w:t>, du fait de cette ventilation insuffisamment précise</w:t>
      </w:r>
      <w:r w:rsidRPr="00DA189B">
        <w:rPr>
          <w:rFonts w:ascii="Bookman Old Style" w:hAnsi="Bookman Old Style" w:cs="Times New Roman"/>
          <w:sz w:val="20"/>
          <w:szCs w:val="20"/>
        </w:rPr>
        <w:t>. Le montant et l’évolution de l’épargne brute s’en trouveront alors biaisés</w:t>
      </w:r>
      <w:r w:rsidR="00EF4FC3" w:rsidRPr="00DA189B">
        <w:rPr>
          <w:rFonts w:ascii="Bookman Old Style" w:hAnsi="Bookman Old Style" w:cs="Times New Roman"/>
          <w:sz w:val="20"/>
          <w:szCs w:val="20"/>
        </w:rPr>
        <w:t xml:space="preserve"> (ici, surestimés)</w:t>
      </w:r>
      <w:r w:rsidR="00DA189B">
        <w:rPr>
          <w:rFonts w:ascii="Bookman Old Style" w:hAnsi="Bookman Old Style" w:cs="Times New Roman"/>
          <w:sz w:val="20"/>
          <w:szCs w:val="20"/>
        </w:rPr>
        <w:t>,</w:t>
      </w:r>
      <w:r w:rsidR="00EF4FC3" w:rsidRPr="00DA189B">
        <w:rPr>
          <w:rFonts w:ascii="Bookman Old Style" w:hAnsi="Bookman Old Style" w:cs="Times New Roman"/>
          <w:sz w:val="20"/>
          <w:szCs w:val="20"/>
        </w:rPr>
        <w:t xml:space="preserve"> car</w:t>
      </w:r>
      <w:r w:rsidR="00305934" w:rsidRPr="00DA189B">
        <w:rPr>
          <w:rFonts w:ascii="Bookman Old Style" w:hAnsi="Bookman Old Style" w:cs="Times New Roman"/>
          <w:sz w:val="20"/>
          <w:szCs w:val="20"/>
        </w:rPr>
        <w:t xml:space="preserve"> lorsqu’une compétence est transférée, </w:t>
      </w:r>
      <w:r w:rsidR="00EF4FC3" w:rsidRPr="00DA189B">
        <w:rPr>
          <w:rFonts w:ascii="Bookman Old Style" w:hAnsi="Bookman Old Style" w:cs="Times New Roman"/>
          <w:sz w:val="20"/>
          <w:szCs w:val="20"/>
        </w:rPr>
        <w:t>son f</w:t>
      </w:r>
      <w:r w:rsidR="00EF4FC3" w:rsidRPr="00DA189B">
        <w:rPr>
          <w:rFonts w:ascii="Bookman Old Style" w:hAnsi="Bookman Old Style" w:cs="Times New Roman"/>
          <w:sz w:val="20"/>
          <w:szCs w:val="20"/>
        </w:rPr>
        <w:t>i</w:t>
      </w:r>
      <w:r w:rsidR="00EF4FC3" w:rsidRPr="00DA189B">
        <w:rPr>
          <w:rFonts w:ascii="Bookman Old Style" w:hAnsi="Bookman Old Style" w:cs="Times New Roman"/>
          <w:sz w:val="20"/>
          <w:szCs w:val="20"/>
        </w:rPr>
        <w:t xml:space="preserve">nancement </w:t>
      </w:r>
      <w:r w:rsidR="00E7356E" w:rsidRPr="00DA189B">
        <w:rPr>
          <w:rFonts w:ascii="Bookman Old Style" w:hAnsi="Bookman Old Style" w:cs="Times New Roman"/>
          <w:sz w:val="20"/>
          <w:szCs w:val="20"/>
        </w:rPr>
        <w:t>est</w:t>
      </w:r>
      <w:r w:rsidR="00EF4FC3" w:rsidRPr="00DA189B">
        <w:rPr>
          <w:rFonts w:ascii="Bookman Old Style" w:hAnsi="Bookman Old Style" w:cs="Times New Roman"/>
          <w:sz w:val="20"/>
          <w:szCs w:val="20"/>
        </w:rPr>
        <w:t xml:space="preserve"> en </w:t>
      </w:r>
      <w:r w:rsidR="00DA189B">
        <w:rPr>
          <w:rFonts w:ascii="Bookman Old Style" w:hAnsi="Bookman Old Style" w:cs="Times New Roman"/>
          <w:sz w:val="20"/>
          <w:szCs w:val="20"/>
        </w:rPr>
        <w:t>théorie</w:t>
      </w:r>
      <w:r w:rsidR="00EF4FC3" w:rsidRPr="00DA189B">
        <w:rPr>
          <w:rFonts w:ascii="Bookman Old Style" w:hAnsi="Bookman Old Style" w:cs="Times New Roman"/>
          <w:sz w:val="20"/>
          <w:szCs w:val="20"/>
        </w:rPr>
        <w:t xml:space="preserve"> </w:t>
      </w:r>
      <w:r w:rsidR="00305934" w:rsidRPr="00DA189B">
        <w:rPr>
          <w:rFonts w:ascii="Bookman Old Style" w:hAnsi="Bookman Old Style" w:cs="Times New Roman"/>
          <w:sz w:val="20"/>
          <w:szCs w:val="20"/>
        </w:rPr>
        <w:t>intégral</w:t>
      </w:r>
      <w:r w:rsidR="00EF4FC3" w:rsidRPr="00DA189B">
        <w:rPr>
          <w:rFonts w:ascii="Bookman Old Style" w:hAnsi="Bookman Old Style" w:cs="Times New Roman"/>
          <w:sz w:val="20"/>
          <w:szCs w:val="20"/>
        </w:rPr>
        <w:t>ement transféré</w:t>
      </w:r>
      <w:r w:rsidR="00E7356E" w:rsidRPr="00DA189B">
        <w:rPr>
          <w:rFonts w:ascii="Bookman Old Style" w:hAnsi="Bookman Old Style" w:cs="Times New Roman"/>
          <w:sz w:val="20"/>
          <w:szCs w:val="20"/>
        </w:rPr>
        <w:t xml:space="preserve"> aussi</w:t>
      </w:r>
      <w:r w:rsidR="00305934" w:rsidRPr="00DA189B">
        <w:rPr>
          <w:rFonts w:ascii="Bookman Old Style" w:hAnsi="Bookman Old Style" w:cs="Times New Roman"/>
          <w:sz w:val="20"/>
          <w:szCs w:val="20"/>
        </w:rPr>
        <w:t>.</w:t>
      </w:r>
    </w:p>
    <w:p w:rsidR="009E177A" w:rsidRPr="00DA189B" w:rsidRDefault="009E177A"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p>
    <w:p w:rsidR="009E177A" w:rsidRPr="00DA189B" w:rsidRDefault="009E177A"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cs="Times New Roman"/>
          <w:sz w:val="20"/>
          <w:szCs w:val="20"/>
        </w:rPr>
        <w:t xml:space="preserve">Pour éviter de biaiser la mesure de l’épargne brute, on recalcule </w:t>
      </w:r>
      <w:r w:rsidR="00EF4FC3" w:rsidRPr="00DA189B">
        <w:rPr>
          <w:rFonts w:ascii="Bookman Old Style" w:hAnsi="Bookman Old Style" w:cs="Times New Roman"/>
          <w:sz w:val="20"/>
          <w:szCs w:val="20"/>
        </w:rPr>
        <w:t xml:space="preserve">alors </w:t>
      </w:r>
      <w:r w:rsidRPr="00DA189B">
        <w:rPr>
          <w:rFonts w:ascii="Bookman Old Style" w:hAnsi="Bookman Old Style" w:cs="Times New Roman"/>
          <w:sz w:val="20"/>
          <w:szCs w:val="20"/>
        </w:rPr>
        <w:t>les recettes de fonctionnement. Les recettes « recalculées » (</w:t>
      </w:r>
      <w:proofErr w:type="spellStart"/>
      <w:r w:rsidRPr="00DA189B">
        <w:rPr>
          <w:rFonts w:ascii="Bookman Old Style" w:hAnsi="Bookman Old Style" w:cs="Times New Roman"/>
          <w:sz w:val="20"/>
          <w:szCs w:val="20"/>
        </w:rPr>
        <w:t>RFc</w:t>
      </w:r>
      <w:proofErr w:type="spellEnd"/>
      <w:r w:rsidRPr="00DA189B">
        <w:rPr>
          <w:rFonts w:ascii="Bookman Old Style" w:hAnsi="Bookman Old Style" w:cs="Times New Roman"/>
          <w:sz w:val="20"/>
          <w:szCs w:val="20"/>
        </w:rPr>
        <w:t xml:space="preserve">) sont égales aux recettes de fonctionnement (RF) diminuées des </w:t>
      </w:r>
      <w:r w:rsidRPr="00DA189B">
        <w:rPr>
          <w:rFonts w:ascii="Bookman Old Style" w:hAnsi="Bookman Old Style" w:cs="Times New Roman"/>
          <w:i/>
          <w:sz w:val="20"/>
          <w:szCs w:val="20"/>
        </w:rPr>
        <w:t>d</w:t>
      </w:r>
      <w:r w:rsidRPr="00DA189B">
        <w:rPr>
          <w:rFonts w:ascii="Bookman Old Style" w:hAnsi="Bookman Old Style" w:cs="Times New Roman"/>
          <w:i/>
          <w:sz w:val="20"/>
          <w:szCs w:val="20"/>
        </w:rPr>
        <w:t>é</w:t>
      </w:r>
      <w:r w:rsidRPr="00DA189B">
        <w:rPr>
          <w:rFonts w:ascii="Bookman Old Style" w:hAnsi="Bookman Old Style" w:cs="Times New Roman"/>
          <w:i/>
          <w:sz w:val="20"/>
          <w:szCs w:val="20"/>
        </w:rPr>
        <w:t>penses</w:t>
      </w:r>
      <w:r w:rsidRPr="00DA189B">
        <w:rPr>
          <w:rFonts w:ascii="Bookman Old Style" w:hAnsi="Bookman Old Style" w:cs="Times New Roman"/>
          <w:sz w:val="20"/>
          <w:szCs w:val="20"/>
        </w:rPr>
        <w:t xml:space="preserve"> de fonctionnement qui correspondent aux fonctions transport transféré</w:t>
      </w:r>
      <w:r w:rsidR="00DF0588">
        <w:rPr>
          <w:rFonts w:ascii="Bookman Old Style" w:hAnsi="Bookman Old Style" w:cs="Times New Roman"/>
          <w:sz w:val="20"/>
          <w:szCs w:val="20"/>
        </w:rPr>
        <w:t>e</w:t>
      </w:r>
      <w:r w:rsidRPr="00DA189B">
        <w:rPr>
          <w:rFonts w:ascii="Bookman Old Style" w:hAnsi="Bookman Old Style" w:cs="Times New Roman"/>
          <w:sz w:val="20"/>
          <w:szCs w:val="20"/>
        </w:rPr>
        <w:t>s (</w:t>
      </w:r>
      <w:r w:rsidR="00EF4FC3" w:rsidRPr="00DA189B">
        <w:rPr>
          <w:rFonts w:ascii="Bookman Old Style" w:hAnsi="Bookman Old Style" w:cs="Times New Roman"/>
          <w:sz w:val="20"/>
          <w:szCs w:val="20"/>
        </w:rPr>
        <w:t>DEP_</w:t>
      </w:r>
      <w:r w:rsidRPr="00DA189B">
        <w:rPr>
          <w:rFonts w:ascii="Bookman Old Style" w:hAnsi="Bookman Old Style" w:cs="Times New Roman"/>
          <w:sz w:val="20"/>
          <w:szCs w:val="20"/>
        </w:rPr>
        <w:t>TT) et gestion des fonds européens (</w:t>
      </w:r>
      <w:r w:rsidR="00EF4FC3" w:rsidRPr="00DA189B">
        <w:rPr>
          <w:rFonts w:ascii="Bookman Old Style" w:hAnsi="Bookman Old Style" w:cs="Times New Roman"/>
          <w:sz w:val="20"/>
          <w:szCs w:val="20"/>
        </w:rPr>
        <w:t>DEP_</w:t>
      </w:r>
      <w:r w:rsidRPr="00DA189B">
        <w:rPr>
          <w:rFonts w:ascii="Bookman Old Style" w:hAnsi="Bookman Old Style" w:cs="Times New Roman"/>
          <w:sz w:val="20"/>
          <w:szCs w:val="20"/>
        </w:rPr>
        <w:t xml:space="preserve">GFE). </w:t>
      </w:r>
      <w:r w:rsidR="00EF4FC3" w:rsidRPr="00DA189B">
        <w:rPr>
          <w:rFonts w:ascii="Bookman Old Style" w:hAnsi="Bookman Old Style" w:cs="Times New Roman"/>
          <w:sz w:val="20"/>
          <w:szCs w:val="20"/>
        </w:rPr>
        <w:t xml:space="preserve">On </w:t>
      </w:r>
      <w:r w:rsidR="00E7356E" w:rsidRPr="00DA189B">
        <w:rPr>
          <w:rFonts w:ascii="Bookman Old Style" w:hAnsi="Bookman Old Style" w:cs="Times New Roman"/>
          <w:sz w:val="20"/>
          <w:szCs w:val="20"/>
        </w:rPr>
        <w:t>s’autorise</w:t>
      </w:r>
      <w:r w:rsidR="00EF4FC3" w:rsidRPr="00DA189B">
        <w:rPr>
          <w:rFonts w:ascii="Bookman Old Style" w:hAnsi="Bookman Old Style" w:cs="Times New Roman"/>
          <w:sz w:val="20"/>
          <w:szCs w:val="20"/>
        </w:rPr>
        <w:t xml:space="preserve"> </w:t>
      </w:r>
      <w:r w:rsidR="00DA189B">
        <w:rPr>
          <w:rFonts w:ascii="Bookman Old Style" w:hAnsi="Bookman Old Style" w:cs="Times New Roman"/>
          <w:sz w:val="20"/>
          <w:szCs w:val="20"/>
        </w:rPr>
        <w:t xml:space="preserve">donc </w:t>
      </w:r>
      <w:r w:rsidR="00EF4FC3" w:rsidRPr="00DA189B">
        <w:rPr>
          <w:rFonts w:ascii="Bookman Old Style" w:hAnsi="Bookman Old Style" w:cs="Times New Roman"/>
          <w:sz w:val="20"/>
          <w:szCs w:val="20"/>
        </w:rPr>
        <w:t xml:space="preserve">ici </w:t>
      </w:r>
      <w:r w:rsidR="00E7356E" w:rsidRPr="00DA189B">
        <w:rPr>
          <w:rFonts w:ascii="Bookman Old Style" w:hAnsi="Bookman Old Style" w:cs="Times New Roman"/>
          <w:sz w:val="20"/>
          <w:szCs w:val="20"/>
        </w:rPr>
        <w:t xml:space="preserve">à prendre </w:t>
      </w:r>
      <w:r w:rsidR="00EF4FC3" w:rsidRPr="00DA189B">
        <w:rPr>
          <w:rFonts w:ascii="Bookman Old Style" w:hAnsi="Bookman Old Style" w:cs="Times New Roman"/>
          <w:sz w:val="20"/>
          <w:szCs w:val="20"/>
        </w:rPr>
        <w:t xml:space="preserve">les dépenses ventilées </w:t>
      </w:r>
      <w:r w:rsidR="00E7356E" w:rsidRPr="00DA189B">
        <w:rPr>
          <w:rFonts w:ascii="Bookman Old Style" w:hAnsi="Bookman Old Style" w:cs="Times New Roman"/>
          <w:sz w:val="20"/>
          <w:szCs w:val="20"/>
        </w:rPr>
        <w:t xml:space="preserve">par fonction </w:t>
      </w:r>
      <w:r w:rsidR="00EF4FC3" w:rsidRPr="00DA189B">
        <w:rPr>
          <w:rFonts w:ascii="Bookman Old Style" w:hAnsi="Bookman Old Style" w:cs="Times New Roman"/>
          <w:sz w:val="20"/>
          <w:szCs w:val="20"/>
        </w:rPr>
        <w:t>comme le meilleur indicateur possible des recettes ventilées</w:t>
      </w:r>
      <w:r w:rsidR="00E7356E" w:rsidRPr="00DA189B">
        <w:rPr>
          <w:rFonts w:ascii="Bookman Old Style" w:hAnsi="Bookman Old Style" w:cs="Times New Roman"/>
          <w:sz w:val="20"/>
          <w:szCs w:val="20"/>
        </w:rPr>
        <w:t xml:space="preserve"> par fonction</w:t>
      </w:r>
      <w:r w:rsidR="00EF4FC3" w:rsidRPr="00DA189B">
        <w:rPr>
          <w:rFonts w:ascii="Bookman Old Style" w:hAnsi="Bookman Old Style" w:cs="Times New Roman"/>
          <w:sz w:val="20"/>
          <w:szCs w:val="20"/>
        </w:rPr>
        <w:t xml:space="preserve">, car on sait que les recettes sont </w:t>
      </w:r>
      <w:r w:rsidR="00DF0588">
        <w:rPr>
          <w:rFonts w:ascii="Bookman Old Style" w:hAnsi="Bookman Old Style" w:cs="Times New Roman"/>
          <w:sz w:val="20"/>
          <w:szCs w:val="20"/>
        </w:rPr>
        <w:t>peu</w:t>
      </w:r>
      <w:r w:rsidR="00EF4FC3" w:rsidRPr="00DA189B">
        <w:rPr>
          <w:rFonts w:ascii="Bookman Old Style" w:hAnsi="Bookman Old Style" w:cs="Times New Roman"/>
          <w:sz w:val="20"/>
          <w:szCs w:val="20"/>
        </w:rPr>
        <w:t xml:space="preserve"> ventilées</w:t>
      </w:r>
      <w:r w:rsidR="00E7356E" w:rsidRPr="00DA189B">
        <w:rPr>
          <w:rFonts w:ascii="Bookman Old Style" w:hAnsi="Bookman Old Style" w:cs="Times New Roman"/>
          <w:sz w:val="20"/>
          <w:szCs w:val="20"/>
        </w:rPr>
        <w:t>,</w:t>
      </w:r>
      <w:r w:rsidR="00EF4FC3" w:rsidRPr="00DA189B">
        <w:rPr>
          <w:rFonts w:ascii="Bookman Old Style" w:hAnsi="Bookman Old Style" w:cs="Times New Roman"/>
          <w:sz w:val="20"/>
          <w:szCs w:val="20"/>
        </w:rPr>
        <w:t xml:space="preserve"> et qu’en </w:t>
      </w:r>
      <w:r w:rsidR="00DA189B">
        <w:rPr>
          <w:rFonts w:ascii="Bookman Old Style" w:hAnsi="Bookman Old Style" w:cs="Times New Roman"/>
          <w:sz w:val="20"/>
          <w:szCs w:val="20"/>
        </w:rPr>
        <w:t>théorie</w:t>
      </w:r>
      <w:r w:rsidR="00EF4FC3" w:rsidRPr="00DA189B">
        <w:rPr>
          <w:rFonts w:ascii="Bookman Old Style" w:hAnsi="Bookman Old Style" w:cs="Times New Roman"/>
          <w:sz w:val="20"/>
          <w:szCs w:val="20"/>
        </w:rPr>
        <w:t xml:space="preserve"> les dépenses transférées sont intégralement financées. </w:t>
      </w:r>
      <w:r w:rsidR="00305934" w:rsidRPr="00DA189B">
        <w:rPr>
          <w:rFonts w:ascii="Bookman Old Style" w:hAnsi="Bookman Old Style" w:cs="Times New Roman"/>
          <w:sz w:val="20"/>
          <w:szCs w:val="20"/>
        </w:rPr>
        <w:t xml:space="preserve">Comme ce sont </w:t>
      </w:r>
      <w:r w:rsidR="00DA189B">
        <w:rPr>
          <w:rFonts w:ascii="Bookman Old Style" w:hAnsi="Bookman Old Style" w:cs="Times New Roman"/>
          <w:sz w:val="20"/>
          <w:szCs w:val="20"/>
        </w:rPr>
        <w:t>alors</w:t>
      </w:r>
      <w:r w:rsidR="00785781" w:rsidRPr="00DA189B">
        <w:rPr>
          <w:rFonts w:ascii="Bookman Old Style" w:hAnsi="Bookman Old Style" w:cs="Times New Roman"/>
          <w:sz w:val="20"/>
          <w:szCs w:val="20"/>
        </w:rPr>
        <w:t xml:space="preserve"> l</w:t>
      </w:r>
      <w:r w:rsidR="00305934" w:rsidRPr="00DA189B">
        <w:rPr>
          <w:rFonts w:ascii="Bookman Old Style" w:hAnsi="Bookman Old Style" w:cs="Times New Roman"/>
          <w:sz w:val="20"/>
          <w:szCs w:val="20"/>
        </w:rPr>
        <w:t xml:space="preserve">es mêmes montants qui affectent </w:t>
      </w:r>
      <w:r w:rsidR="00785781" w:rsidRPr="00DA189B">
        <w:rPr>
          <w:rFonts w:ascii="Bookman Old Style" w:hAnsi="Bookman Old Style" w:cs="Times New Roman"/>
          <w:sz w:val="20"/>
          <w:szCs w:val="20"/>
        </w:rPr>
        <w:t>les recettes et</w:t>
      </w:r>
      <w:r w:rsidR="00305934" w:rsidRPr="00DA189B">
        <w:rPr>
          <w:rFonts w:ascii="Bookman Old Style" w:hAnsi="Bookman Old Style" w:cs="Times New Roman"/>
          <w:sz w:val="20"/>
          <w:szCs w:val="20"/>
        </w:rPr>
        <w:t xml:space="preserve"> les dépenses, le montant de l’épargne brute</w:t>
      </w:r>
      <w:r w:rsidR="00DA189B">
        <w:rPr>
          <w:rFonts w:ascii="Bookman Old Style" w:hAnsi="Bookman Old Style" w:cs="Times New Roman"/>
          <w:sz w:val="20"/>
          <w:szCs w:val="20"/>
        </w:rPr>
        <w:t xml:space="preserve"> recalculée</w:t>
      </w:r>
      <w:r w:rsidR="00305934" w:rsidRPr="00DA189B">
        <w:rPr>
          <w:rFonts w:ascii="Bookman Old Style" w:hAnsi="Bookman Old Style" w:cs="Times New Roman"/>
          <w:sz w:val="20"/>
          <w:szCs w:val="20"/>
        </w:rPr>
        <w:t xml:space="preserve"> est en fait le même que celui toutes fonctions confondues</w:t>
      </w:r>
      <w:r w:rsidR="00EF4FC3" w:rsidRPr="00DA189B">
        <w:rPr>
          <w:rFonts w:ascii="Bookman Old Style" w:hAnsi="Bookman Old Style" w:cs="Times New Roman"/>
          <w:sz w:val="20"/>
          <w:szCs w:val="20"/>
        </w:rPr>
        <w:t xml:space="preserve"> (</w:t>
      </w:r>
      <w:proofErr w:type="spellStart"/>
      <w:r w:rsidR="00EF4FC3" w:rsidRPr="00DA189B">
        <w:rPr>
          <w:rFonts w:ascii="Bookman Old Style" w:hAnsi="Bookman Old Style" w:cs="Times New Roman"/>
          <w:sz w:val="20"/>
          <w:szCs w:val="20"/>
        </w:rPr>
        <w:t>EBc</w:t>
      </w:r>
      <w:proofErr w:type="spellEnd"/>
      <w:r w:rsidR="00EF4FC3" w:rsidRPr="00DA189B">
        <w:rPr>
          <w:rFonts w:ascii="Bookman Old Style" w:hAnsi="Bookman Old Style" w:cs="Times New Roman"/>
          <w:sz w:val="20"/>
          <w:szCs w:val="20"/>
        </w:rPr>
        <w:t xml:space="preserve"> = EB)</w:t>
      </w:r>
      <w:r w:rsidR="00305934" w:rsidRPr="00DA189B">
        <w:rPr>
          <w:rFonts w:ascii="Bookman Old Style" w:hAnsi="Bookman Old Style" w:cs="Times New Roman"/>
          <w:sz w:val="20"/>
          <w:szCs w:val="20"/>
        </w:rPr>
        <w:t>. En revanche, le taux d’épargne brute</w:t>
      </w:r>
      <w:r w:rsidR="00EF4FC3" w:rsidRPr="00DA189B">
        <w:rPr>
          <w:rFonts w:ascii="Bookman Old Style" w:hAnsi="Bookman Old Style" w:cs="Times New Roman"/>
          <w:sz w:val="20"/>
          <w:szCs w:val="20"/>
        </w:rPr>
        <w:t xml:space="preserve"> recalculé</w:t>
      </w:r>
      <w:r w:rsidR="00305934" w:rsidRPr="00DA189B">
        <w:rPr>
          <w:rFonts w:ascii="Bookman Old Style" w:hAnsi="Bookman Old Style" w:cs="Times New Roman"/>
          <w:sz w:val="20"/>
          <w:szCs w:val="20"/>
        </w:rPr>
        <w:t>, qui rapporte l’épargne brute aux recettes de fonctionnement</w:t>
      </w:r>
      <w:r w:rsidR="00EF4FC3" w:rsidRPr="00DA189B">
        <w:rPr>
          <w:rFonts w:ascii="Bookman Old Style" w:hAnsi="Bookman Old Style" w:cs="Times New Roman"/>
          <w:sz w:val="20"/>
          <w:szCs w:val="20"/>
        </w:rPr>
        <w:t xml:space="preserve"> </w:t>
      </w:r>
      <w:r w:rsidR="00E7356E" w:rsidRPr="00DA189B">
        <w:rPr>
          <w:rFonts w:ascii="Bookman Old Style" w:hAnsi="Bookman Old Style" w:cs="Times New Roman"/>
          <w:sz w:val="20"/>
          <w:szCs w:val="20"/>
        </w:rPr>
        <w:t>recalculées</w:t>
      </w:r>
      <w:r w:rsidR="00305934" w:rsidRPr="00DA189B">
        <w:rPr>
          <w:rFonts w:ascii="Bookman Old Style" w:hAnsi="Bookman Old Style" w:cs="Times New Roman"/>
          <w:sz w:val="20"/>
          <w:szCs w:val="20"/>
        </w:rPr>
        <w:t xml:space="preserve">, n’est pas du tout le même que celui « toutes fonctions confondues » </w:t>
      </w:r>
      <w:r w:rsidR="00305934" w:rsidRPr="00DA189B">
        <w:rPr>
          <w:rFonts w:ascii="Bookman Old Style" w:hAnsi="Bookman Old Style" w:cs="Times New Roman"/>
          <w:i/>
          <w:sz w:val="20"/>
          <w:szCs w:val="20"/>
        </w:rPr>
        <w:t>(graphiques</w:t>
      </w:r>
      <w:r w:rsidR="00892242">
        <w:rPr>
          <w:rFonts w:ascii="Bookman Old Style" w:hAnsi="Bookman Old Style" w:cs="Times New Roman"/>
          <w:i/>
          <w:sz w:val="20"/>
          <w:szCs w:val="20"/>
        </w:rPr>
        <w:t xml:space="preserve"> E3</w:t>
      </w:r>
      <w:r w:rsidR="00305934" w:rsidRPr="00DA189B">
        <w:rPr>
          <w:rFonts w:ascii="Bookman Old Style" w:hAnsi="Bookman Old Style" w:cs="Times New Roman"/>
          <w:i/>
          <w:sz w:val="20"/>
          <w:szCs w:val="20"/>
        </w:rPr>
        <w:t>)</w:t>
      </w:r>
      <w:r w:rsidR="00E7356E" w:rsidRPr="00DA189B">
        <w:rPr>
          <w:rFonts w:ascii="Bookman Old Style" w:hAnsi="Bookman Old Style" w:cs="Times New Roman"/>
          <w:sz w:val="20"/>
          <w:szCs w:val="20"/>
        </w:rPr>
        <w:t> :</w:t>
      </w:r>
    </w:p>
    <w:p w:rsidR="00EF4FC3" w:rsidRPr="00DA189B" w:rsidRDefault="00EF4FC3"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p>
    <w:p w:rsidR="00EF4FC3" w:rsidRPr="00DA189B" w:rsidRDefault="00EF4FC3" w:rsidP="00892242">
      <w:pPr>
        <w:pBdr>
          <w:top w:val="single" w:sz="4" w:space="1" w:color="auto"/>
          <w:left w:val="single" w:sz="4" w:space="1" w:color="auto"/>
          <w:bottom w:val="single" w:sz="4" w:space="1" w:color="auto"/>
          <w:right w:val="single" w:sz="4" w:space="1" w:color="auto"/>
        </w:pBdr>
        <w:spacing w:after="0" w:line="276" w:lineRule="auto"/>
        <w:jc w:val="center"/>
        <w:rPr>
          <w:rFonts w:ascii="Bookman Old Style" w:hAnsi="Bookman Old Style" w:cs="Times New Roman"/>
          <w:sz w:val="20"/>
          <w:szCs w:val="20"/>
        </w:rPr>
      </w:pPr>
      <w:r w:rsidRPr="00DA189B">
        <w:rPr>
          <w:rFonts w:ascii="Bookman Old Style" w:hAnsi="Bookman Old Style" w:cs="Times New Roman"/>
          <w:sz w:val="20"/>
          <w:szCs w:val="20"/>
        </w:rPr>
        <w:t xml:space="preserve">Taux d’épargne brut recalculé </w:t>
      </w:r>
      <w:proofErr w:type="spellStart"/>
      <w:r w:rsidRPr="00DA189B">
        <w:rPr>
          <w:rFonts w:ascii="Bookman Old Style" w:hAnsi="Bookman Old Style" w:cs="Times New Roman"/>
          <w:sz w:val="20"/>
          <w:szCs w:val="20"/>
        </w:rPr>
        <w:t>TEBc</w:t>
      </w:r>
      <w:proofErr w:type="spellEnd"/>
      <w:r w:rsidRPr="00DA189B">
        <w:rPr>
          <w:rFonts w:ascii="Bookman Old Style" w:hAnsi="Bookman Old Style" w:cs="Times New Roman"/>
          <w:sz w:val="20"/>
          <w:szCs w:val="20"/>
        </w:rPr>
        <w:t xml:space="preserve"> = </w:t>
      </w:r>
      <w:proofErr w:type="spellStart"/>
      <w:r w:rsidRPr="00DA189B">
        <w:rPr>
          <w:rFonts w:ascii="Bookman Old Style" w:hAnsi="Bookman Old Style" w:cs="Times New Roman"/>
          <w:sz w:val="20"/>
          <w:szCs w:val="20"/>
        </w:rPr>
        <w:t>EBc</w:t>
      </w:r>
      <w:proofErr w:type="spellEnd"/>
      <w:r w:rsidRPr="00DA189B">
        <w:rPr>
          <w:rFonts w:ascii="Bookman Old Style" w:hAnsi="Bookman Old Style" w:cs="Times New Roman"/>
          <w:sz w:val="20"/>
          <w:szCs w:val="20"/>
        </w:rPr>
        <w:t xml:space="preserve"> / </w:t>
      </w:r>
      <w:proofErr w:type="spellStart"/>
      <w:r w:rsidRPr="00DA189B">
        <w:rPr>
          <w:rFonts w:ascii="Bookman Old Style" w:hAnsi="Bookman Old Style" w:cs="Times New Roman"/>
          <w:sz w:val="20"/>
          <w:szCs w:val="20"/>
        </w:rPr>
        <w:t>RFc</w:t>
      </w:r>
      <w:proofErr w:type="spellEnd"/>
      <w:r w:rsidRPr="00DA189B">
        <w:rPr>
          <w:rFonts w:ascii="Bookman Old Style" w:hAnsi="Bookman Old Style" w:cs="Times New Roman"/>
          <w:sz w:val="20"/>
          <w:szCs w:val="20"/>
        </w:rPr>
        <w:t xml:space="preserve"> = (RF - DF) / (RF - DEP_TT - DEP_GFE)</w:t>
      </w:r>
    </w:p>
    <w:p w:rsidR="00305934" w:rsidRDefault="00305934"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p>
    <w:p w:rsidR="00892242" w:rsidRPr="00DA189B" w:rsidRDefault="00892242" w:rsidP="00892242">
      <w:pPr>
        <w:pBdr>
          <w:top w:val="single" w:sz="4" w:space="1" w:color="auto"/>
          <w:left w:val="single" w:sz="4" w:space="1" w:color="auto"/>
          <w:bottom w:val="single" w:sz="4" w:space="1" w:color="auto"/>
          <w:right w:val="single" w:sz="4" w:space="1" w:color="auto"/>
        </w:pBdr>
        <w:spacing w:after="120" w:line="276" w:lineRule="auto"/>
        <w:jc w:val="center"/>
        <w:rPr>
          <w:rFonts w:ascii="Bookman Old Style" w:hAnsi="Bookman Old Style" w:cs="Times New Roman"/>
          <w:sz w:val="20"/>
          <w:szCs w:val="20"/>
        </w:rPr>
      </w:pPr>
      <w:r>
        <w:rPr>
          <w:rFonts w:ascii="Bookman Old Style" w:hAnsi="Bookman Old Style" w:cs="Times New Roman"/>
          <w:sz w:val="20"/>
          <w:szCs w:val="20"/>
        </w:rPr>
        <w:t xml:space="preserve">Graphiques E3 : </w:t>
      </w:r>
      <w:proofErr w:type="spellStart"/>
      <w:r>
        <w:rPr>
          <w:rFonts w:ascii="Bookman Old Style" w:hAnsi="Bookman Old Style" w:cs="Times New Roman"/>
          <w:sz w:val="20"/>
          <w:szCs w:val="20"/>
        </w:rPr>
        <w:t>Recalcul</w:t>
      </w:r>
      <w:proofErr w:type="spellEnd"/>
      <w:r>
        <w:rPr>
          <w:rFonts w:ascii="Bookman Old Style" w:hAnsi="Bookman Old Style" w:cs="Times New Roman"/>
          <w:sz w:val="20"/>
          <w:szCs w:val="20"/>
        </w:rPr>
        <w:t xml:space="preserve"> du taux d’épargne brute des régions inchangées</w:t>
      </w:r>
    </w:p>
    <w:p w:rsidR="00E7356E" w:rsidRPr="00DA189B" w:rsidRDefault="00E7356E" w:rsidP="00892242">
      <w:pPr>
        <w:pBdr>
          <w:top w:val="single" w:sz="4" w:space="1" w:color="auto"/>
          <w:left w:val="single" w:sz="4" w:space="1" w:color="auto"/>
          <w:bottom w:val="single" w:sz="4" w:space="1" w:color="auto"/>
          <w:right w:val="single" w:sz="4" w:space="1" w:color="auto"/>
        </w:pBdr>
        <w:tabs>
          <w:tab w:val="left" w:pos="5954"/>
        </w:tabs>
        <w:spacing w:after="0" w:line="276" w:lineRule="auto"/>
        <w:ind w:firstLine="1276"/>
        <w:rPr>
          <w:rFonts w:ascii="Bookman Old Style" w:hAnsi="Bookman Old Style" w:cs="Times New Roman"/>
          <w:sz w:val="20"/>
          <w:szCs w:val="20"/>
        </w:rPr>
      </w:pPr>
      <w:r w:rsidRPr="00DA189B">
        <w:rPr>
          <w:rFonts w:ascii="Bookman Old Style" w:hAnsi="Bookman Old Style" w:cs="Times New Roman"/>
          <w:sz w:val="20"/>
          <w:szCs w:val="20"/>
        </w:rPr>
        <w:t>Dépenses de fonctionnement</w:t>
      </w:r>
      <w:r w:rsidRPr="00DA189B">
        <w:rPr>
          <w:rFonts w:ascii="Bookman Old Style" w:hAnsi="Bookman Old Style" w:cs="Times New Roman"/>
          <w:sz w:val="20"/>
          <w:szCs w:val="20"/>
        </w:rPr>
        <w:tab/>
        <w:t>Recettes de fonctionnement</w:t>
      </w:r>
    </w:p>
    <w:p w:rsidR="009E177A" w:rsidRPr="00DA189B" w:rsidRDefault="00785781"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noProof/>
          <w:sz w:val="20"/>
          <w:szCs w:val="20"/>
          <w:lang w:eastAsia="fr-FR"/>
        </w:rPr>
        <w:drawing>
          <wp:inline distT="0" distB="0" distL="0" distR="0">
            <wp:extent cx="3066639" cy="2339008"/>
            <wp:effectExtent l="19050" t="0" r="411"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070024" cy="2341590"/>
                    </a:xfrm>
                    <a:prstGeom prst="rect">
                      <a:avLst/>
                    </a:prstGeom>
                    <a:noFill/>
                    <a:ln w="9525">
                      <a:noFill/>
                      <a:miter lim="800000"/>
                      <a:headEnd/>
                      <a:tailEnd/>
                    </a:ln>
                  </pic:spPr>
                </pic:pic>
              </a:graphicData>
            </a:graphic>
          </wp:inline>
        </w:drawing>
      </w:r>
      <w:r w:rsidR="00E7356E" w:rsidRPr="00DA189B">
        <w:rPr>
          <w:rFonts w:ascii="Bookman Old Style" w:hAnsi="Bookman Old Style" w:cs="Times New Roman"/>
          <w:sz w:val="20"/>
          <w:szCs w:val="20"/>
        </w:rPr>
        <w:t xml:space="preserve"> </w:t>
      </w:r>
      <w:r w:rsidR="005D7809" w:rsidRPr="005D7809">
        <w:rPr>
          <w:noProof/>
          <w:szCs w:val="20"/>
          <w:lang w:eastAsia="fr-FR"/>
        </w:rPr>
        <w:drawing>
          <wp:inline distT="0" distB="0" distL="0" distR="0">
            <wp:extent cx="3150870" cy="2400716"/>
            <wp:effectExtent l="19050" t="0" r="0" b="0"/>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152222" cy="2401746"/>
                    </a:xfrm>
                    <a:prstGeom prst="rect">
                      <a:avLst/>
                    </a:prstGeom>
                    <a:noFill/>
                    <a:ln w="9525">
                      <a:noFill/>
                      <a:miter lim="800000"/>
                      <a:headEnd/>
                      <a:tailEnd/>
                    </a:ln>
                  </pic:spPr>
                </pic:pic>
              </a:graphicData>
            </a:graphic>
          </wp:inline>
        </w:drawing>
      </w:r>
    </w:p>
    <w:p w:rsidR="00785781" w:rsidRPr="00DA189B" w:rsidRDefault="00785781" w:rsidP="00892242">
      <w:pPr>
        <w:pBdr>
          <w:top w:val="single" w:sz="4" w:space="1" w:color="auto"/>
          <w:left w:val="single" w:sz="4" w:space="1" w:color="auto"/>
          <w:bottom w:val="single" w:sz="4" w:space="1" w:color="auto"/>
          <w:right w:val="single" w:sz="4" w:space="1" w:color="auto"/>
        </w:pBdr>
        <w:tabs>
          <w:tab w:val="left" w:pos="5954"/>
        </w:tabs>
        <w:spacing w:after="0" w:line="276" w:lineRule="auto"/>
        <w:ind w:firstLine="1276"/>
        <w:rPr>
          <w:rFonts w:ascii="Bookman Old Style" w:hAnsi="Bookman Old Style" w:cs="Times New Roman"/>
          <w:sz w:val="20"/>
          <w:szCs w:val="20"/>
        </w:rPr>
      </w:pPr>
      <w:r w:rsidRPr="00DA189B">
        <w:rPr>
          <w:rFonts w:ascii="Bookman Old Style" w:hAnsi="Bookman Old Style" w:cs="Times New Roman"/>
          <w:sz w:val="20"/>
          <w:szCs w:val="20"/>
        </w:rPr>
        <w:t>Épargne brute</w:t>
      </w:r>
      <w:r w:rsidRPr="00DA189B">
        <w:rPr>
          <w:rFonts w:ascii="Bookman Old Style" w:hAnsi="Bookman Old Style" w:cs="Times New Roman"/>
          <w:sz w:val="20"/>
          <w:szCs w:val="20"/>
        </w:rPr>
        <w:tab/>
        <w:t>Taux d’épargne brute</w:t>
      </w:r>
    </w:p>
    <w:p w:rsidR="009E177A" w:rsidRPr="00DA189B" w:rsidRDefault="00DF0588"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F0588">
        <w:rPr>
          <w:noProof/>
          <w:szCs w:val="20"/>
          <w:lang w:eastAsia="fr-FR"/>
        </w:rPr>
        <w:drawing>
          <wp:inline distT="0" distB="0" distL="0" distR="0">
            <wp:extent cx="3065526" cy="2335691"/>
            <wp:effectExtent l="19050" t="0" r="1524"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068678" cy="2338093"/>
                    </a:xfrm>
                    <a:prstGeom prst="rect">
                      <a:avLst/>
                    </a:prstGeom>
                    <a:noFill/>
                    <a:ln w="9525">
                      <a:noFill/>
                      <a:miter lim="800000"/>
                      <a:headEnd/>
                      <a:tailEnd/>
                    </a:ln>
                  </pic:spPr>
                </pic:pic>
              </a:graphicData>
            </a:graphic>
          </wp:inline>
        </w:drawing>
      </w:r>
      <w:r w:rsidR="00E7356E" w:rsidRPr="00DA189B">
        <w:rPr>
          <w:rFonts w:ascii="Bookman Old Style" w:hAnsi="Bookman Old Style" w:cs="Times New Roman"/>
          <w:sz w:val="20"/>
          <w:szCs w:val="20"/>
        </w:rPr>
        <w:t xml:space="preserve"> </w:t>
      </w:r>
      <w:r w:rsidR="005D7809" w:rsidRPr="005D7809">
        <w:rPr>
          <w:noProof/>
          <w:szCs w:val="20"/>
          <w:lang w:eastAsia="fr-FR"/>
        </w:rPr>
        <w:drawing>
          <wp:inline distT="0" distB="0" distL="0" distR="0">
            <wp:extent cx="3150870" cy="2400716"/>
            <wp:effectExtent l="1905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151425" cy="2401139"/>
                    </a:xfrm>
                    <a:prstGeom prst="rect">
                      <a:avLst/>
                    </a:prstGeom>
                    <a:noFill/>
                    <a:ln w="9525">
                      <a:noFill/>
                      <a:miter lim="800000"/>
                      <a:headEnd/>
                      <a:tailEnd/>
                    </a:ln>
                  </pic:spPr>
                </pic:pic>
              </a:graphicData>
            </a:graphic>
          </wp:inline>
        </w:drawing>
      </w:r>
    </w:p>
    <w:p w:rsidR="00892242" w:rsidRPr="00892242" w:rsidRDefault="00892242" w:rsidP="00892242">
      <w:pPr>
        <w:pBdr>
          <w:top w:val="single" w:sz="4" w:space="1" w:color="auto"/>
          <w:left w:val="single" w:sz="4" w:space="1" w:color="auto"/>
          <w:bottom w:val="single" w:sz="4" w:space="1" w:color="auto"/>
          <w:right w:val="single" w:sz="4" w:space="1" w:color="auto"/>
        </w:pBdr>
        <w:jc w:val="both"/>
        <w:rPr>
          <w:rFonts w:ascii="Bookman Old Style" w:hAnsi="Bookman Old Style" w:cs="Times New Roman"/>
          <w:i/>
          <w:sz w:val="18"/>
          <w:szCs w:val="20"/>
        </w:rPr>
      </w:pPr>
      <w:r w:rsidRPr="00892242">
        <w:rPr>
          <w:rFonts w:ascii="Bookman Old Style" w:hAnsi="Bookman Old Style" w:cs="Times New Roman"/>
          <w:i/>
          <w:sz w:val="18"/>
          <w:szCs w:val="20"/>
        </w:rPr>
        <w:t>Source : DGCL. Données DGFIP, compte de gestion, budgets principaux et annexes, opérations réelles.</w:t>
      </w:r>
    </w:p>
    <w:p w:rsidR="00785781" w:rsidRDefault="00785781"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p>
    <w:p w:rsidR="00293BE6" w:rsidRPr="00DA189B" w:rsidRDefault="00293BE6" w:rsidP="00892242">
      <w:pPr>
        <w:pBdr>
          <w:top w:val="single" w:sz="4" w:space="1" w:color="auto"/>
          <w:left w:val="single" w:sz="4" w:space="1" w:color="auto"/>
          <w:bottom w:val="single" w:sz="4" w:space="1" w:color="auto"/>
          <w:right w:val="single" w:sz="4" w:space="1" w:color="auto"/>
        </w:pBdr>
        <w:spacing w:after="120" w:line="276" w:lineRule="auto"/>
        <w:jc w:val="both"/>
        <w:rPr>
          <w:rFonts w:ascii="Bookman Old Style" w:hAnsi="Bookman Old Style" w:cs="Times New Roman"/>
          <w:sz w:val="20"/>
          <w:szCs w:val="20"/>
          <w:u w:val="single"/>
        </w:rPr>
      </w:pPr>
      <w:r w:rsidRPr="00DA189B">
        <w:rPr>
          <w:rFonts w:ascii="Bookman Old Style" w:hAnsi="Bookman Old Style" w:cs="Times New Roman"/>
          <w:sz w:val="20"/>
          <w:szCs w:val="20"/>
          <w:u w:val="single"/>
        </w:rPr>
        <w:t>Taux d’autofinancement des investissement</w:t>
      </w:r>
      <w:r w:rsidR="005D7809">
        <w:rPr>
          <w:rFonts w:ascii="Bookman Old Style" w:hAnsi="Bookman Old Style" w:cs="Times New Roman"/>
          <w:sz w:val="20"/>
          <w:szCs w:val="20"/>
          <w:u w:val="single"/>
        </w:rPr>
        <w:t>s</w:t>
      </w:r>
    </w:p>
    <w:p w:rsidR="00472C18" w:rsidRPr="00DA189B" w:rsidRDefault="006E33A0"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Pr>
          <w:rFonts w:ascii="Bookman Old Style" w:hAnsi="Bookman Old Style" w:cs="Times New Roman"/>
          <w:sz w:val="20"/>
          <w:szCs w:val="20"/>
        </w:rPr>
        <w:t xml:space="preserve">L’autofinancement est constitué par </w:t>
      </w:r>
      <w:r w:rsidR="00E02EAF" w:rsidRPr="00DA189B">
        <w:rPr>
          <w:rFonts w:ascii="Bookman Old Style" w:hAnsi="Bookman Old Style" w:cs="Times New Roman"/>
          <w:sz w:val="20"/>
          <w:szCs w:val="20"/>
        </w:rPr>
        <w:t xml:space="preserve">l’épargne nette </w:t>
      </w:r>
      <w:r w:rsidR="006B692C" w:rsidRPr="00DA189B">
        <w:rPr>
          <w:rFonts w:ascii="Bookman Old Style" w:hAnsi="Bookman Old Style" w:cs="Times New Roman"/>
          <w:sz w:val="20"/>
          <w:szCs w:val="20"/>
        </w:rPr>
        <w:t>(</w:t>
      </w:r>
      <w:r>
        <w:rPr>
          <w:rFonts w:ascii="Bookman Old Style" w:hAnsi="Bookman Old Style" w:cs="Times New Roman"/>
          <w:sz w:val="20"/>
          <w:szCs w:val="20"/>
        </w:rPr>
        <w:t xml:space="preserve">c’est-à-dire l’épargne brute disponible pour l’investissement, donc diminuée des remboursements de dette : </w:t>
      </w:r>
      <w:r w:rsidR="006B692C" w:rsidRPr="00DA189B">
        <w:rPr>
          <w:rFonts w:ascii="Bookman Old Style" w:hAnsi="Bookman Old Style" w:cs="Times New Roman"/>
          <w:sz w:val="20"/>
          <w:szCs w:val="20"/>
        </w:rPr>
        <w:t>EN = EB - REMB)</w:t>
      </w:r>
      <w:r>
        <w:rPr>
          <w:rFonts w:ascii="Bookman Old Style" w:hAnsi="Bookman Old Style" w:cs="Times New Roman"/>
          <w:sz w:val="20"/>
          <w:szCs w:val="20"/>
        </w:rPr>
        <w:t>,</w:t>
      </w:r>
      <w:r w:rsidR="006B692C" w:rsidRPr="00DA189B">
        <w:rPr>
          <w:rFonts w:ascii="Bookman Old Style" w:hAnsi="Bookman Old Style" w:cs="Times New Roman"/>
          <w:sz w:val="20"/>
          <w:szCs w:val="20"/>
        </w:rPr>
        <w:t xml:space="preserve"> </w:t>
      </w:r>
      <w:r w:rsidR="00E02EAF" w:rsidRPr="00DA189B">
        <w:rPr>
          <w:rFonts w:ascii="Bookman Old Style" w:hAnsi="Bookman Old Style" w:cs="Times New Roman"/>
          <w:sz w:val="20"/>
          <w:szCs w:val="20"/>
        </w:rPr>
        <w:t>augmentée des r</w:t>
      </w:r>
      <w:r w:rsidR="00E02EAF" w:rsidRPr="00DA189B">
        <w:rPr>
          <w:rFonts w:ascii="Bookman Old Style" w:hAnsi="Bookman Old Style" w:cs="Times New Roman"/>
          <w:sz w:val="20"/>
          <w:szCs w:val="20"/>
        </w:rPr>
        <w:t>e</w:t>
      </w:r>
      <w:r w:rsidR="00E02EAF" w:rsidRPr="00DA189B">
        <w:rPr>
          <w:rFonts w:ascii="Bookman Old Style" w:hAnsi="Bookman Old Style" w:cs="Times New Roman"/>
          <w:sz w:val="20"/>
          <w:szCs w:val="20"/>
        </w:rPr>
        <w:t>cettes d</w:t>
      </w:r>
      <w:r>
        <w:rPr>
          <w:rFonts w:ascii="Bookman Old Style" w:hAnsi="Bookman Old Style" w:cs="Times New Roman"/>
          <w:sz w:val="20"/>
          <w:szCs w:val="20"/>
        </w:rPr>
        <w:t>’</w:t>
      </w:r>
      <w:r w:rsidR="00E02EAF" w:rsidRPr="00DA189B">
        <w:rPr>
          <w:rFonts w:ascii="Bookman Old Style" w:hAnsi="Bookman Old Style" w:cs="Times New Roman"/>
          <w:sz w:val="20"/>
          <w:szCs w:val="20"/>
        </w:rPr>
        <w:t>investissement</w:t>
      </w:r>
      <w:r w:rsidR="006B692C" w:rsidRPr="00DA189B">
        <w:rPr>
          <w:rFonts w:ascii="Bookman Old Style" w:hAnsi="Bookman Old Style" w:cs="Times New Roman"/>
          <w:sz w:val="20"/>
          <w:szCs w:val="20"/>
        </w:rPr>
        <w:t xml:space="preserve"> hors emprunts (RIHE)</w:t>
      </w:r>
      <w:r>
        <w:rPr>
          <w:rFonts w:ascii="Bookman Old Style" w:hAnsi="Bookman Old Style" w:cs="Times New Roman"/>
          <w:sz w:val="20"/>
          <w:szCs w:val="20"/>
        </w:rPr>
        <w:t>.</w:t>
      </w:r>
      <w:r w:rsidR="00E02EAF" w:rsidRPr="00DA189B">
        <w:rPr>
          <w:rFonts w:ascii="Bookman Old Style" w:hAnsi="Bookman Old Style" w:cs="Times New Roman"/>
          <w:sz w:val="20"/>
          <w:szCs w:val="20"/>
        </w:rPr>
        <w:t xml:space="preserve"> </w:t>
      </w:r>
      <w:r w:rsidRPr="00DA189B">
        <w:rPr>
          <w:rFonts w:ascii="Bookman Old Style" w:hAnsi="Bookman Old Style" w:cs="Times New Roman"/>
          <w:sz w:val="20"/>
          <w:szCs w:val="20"/>
        </w:rPr>
        <w:t xml:space="preserve">Le taux d’autofinancement (TAI) rapporte </w:t>
      </w:r>
      <w:r>
        <w:rPr>
          <w:rFonts w:ascii="Bookman Old Style" w:hAnsi="Bookman Old Style" w:cs="Times New Roman"/>
          <w:sz w:val="20"/>
          <w:szCs w:val="20"/>
        </w:rPr>
        <w:t>cet autofina</w:t>
      </w:r>
      <w:r>
        <w:rPr>
          <w:rFonts w:ascii="Bookman Old Style" w:hAnsi="Bookman Old Style" w:cs="Times New Roman"/>
          <w:sz w:val="20"/>
          <w:szCs w:val="20"/>
        </w:rPr>
        <w:t>n</w:t>
      </w:r>
      <w:r>
        <w:rPr>
          <w:rFonts w:ascii="Bookman Old Style" w:hAnsi="Bookman Old Style" w:cs="Times New Roman"/>
          <w:sz w:val="20"/>
          <w:szCs w:val="20"/>
        </w:rPr>
        <w:t xml:space="preserve">cement (EN + RIHE) </w:t>
      </w:r>
      <w:r w:rsidR="00E02EAF" w:rsidRPr="00DA189B">
        <w:rPr>
          <w:rFonts w:ascii="Bookman Old Style" w:hAnsi="Bookman Old Style" w:cs="Times New Roman"/>
          <w:sz w:val="20"/>
          <w:szCs w:val="20"/>
        </w:rPr>
        <w:t>au</w:t>
      </w:r>
      <w:r w:rsidR="006B692C" w:rsidRPr="00DA189B">
        <w:rPr>
          <w:rFonts w:ascii="Bookman Old Style" w:hAnsi="Bookman Old Style" w:cs="Times New Roman"/>
          <w:sz w:val="20"/>
          <w:szCs w:val="20"/>
        </w:rPr>
        <w:t>x</w:t>
      </w:r>
      <w:r w:rsidR="00E02EAF" w:rsidRPr="00DA189B">
        <w:rPr>
          <w:rFonts w:ascii="Bookman Old Style" w:hAnsi="Bookman Old Style" w:cs="Times New Roman"/>
          <w:sz w:val="20"/>
          <w:szCs w:val="20"/>
        </w:rPr>
        <w:t xml:space="preserve"> dépenses d’investissement hors remboursement</w:t>
      </w:r>
      <w:r w:rsidR="005D7809">
        <w:rPr>
          <w:rFonts w:ascii="Bookman Old Style" w:hAnsi="Bookman Old Style" w:cs="Times New Roman"/>
          <w:sz w:val="20"/>
          <w:szCs w:val="20"/>
        </w:rPr>
        <w:t>s de dette</w:t>
      </w:r>
      <w:r w:rsidR="00E02EAF" w:rsidRPr="00DA189B">
        <w:rPr>
          <w:rFonts w:ascii="Bookman Old Style" w:hAnsi="Bookman Old Style" w:cs="Times New Roman"/>
          <w:sz w:val="20"/>
          <w:szCs w:val="20"/>
        </w:rPr>
        <w:t xml:space="preserve"> (DIHR)</w:t>
      </w:r>
      <w:r w:rsidR="006B692C" w:rsidRPr="00DA189B">
        <w:rPr>
          <w:rFonts w:ascii="Bookman Old Style" w:hAnsi="Bookman Old Style" w:cs="Times New Roman"/>
          <w:sz w:val="20"/>
          <w:szCs w:val="20"/>
        </w:rPr>
        <w:t xml:space="preserve">. </w:t>
      </w:r>
    </w:p>
    <w:p w:rsidR="005D7809" w:rsidRDefault="00472C18"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cs="Times New Roman"/>
          <w:sz w:val="20"/>
          <w:szCs w:val="20"/>
        </w:rPr>
        <w:lastRenderedPageBreak/>
        <w:t>L’épargne nette, on l’a vu, ne doit pas être prise « hors fonctions relatives au</w:t>
      </w:r>
      <w:r w:rsidR="00991680" w:rsidRPr="00DA189B">
        <w:rPr>
          <w:rFonts w:ascii="Bookman Old Style" w:hAnsi="Bookman Old Style" w:cs="Times New Roman"/>
          <w:sz w:val="20"/>
          <w:szCs w:val="20"/>
        </w:rPr>
        <w:t>x</w:t>
      </w:r>
      <w:r w:rsidRPr="00DA189B">
        <w:rPr>
          <w:rFonts w:ascii="Bookman Old Style" w:hAnsi="Bookman Old Style" w:cs="Times New Roman"/>
          <w:sz w:val="20"/>
          <w:szCs w:val="20"/>
        </w:rPr>
        <w:t xml:space="preserve"> </w:t>
      </w:r>
      <w:r w:rsidR="005D7809">
        <w:rPr>
          <w:rFonts w:ascii="Bookman Old Style" w:hAnsi="Bookman Old Style" w:cs="Times New Roman"/>
          <w:sz w:val="20"/>
          <w:szCs w:val="20"/>
        </w:rPr>
        <w:t xml:space="preserve">fonctions </w:t>
      </w:r>
      <w:r w:rsidRPr="00DA189B">
        <w:rPr>
          <w:rFonts w:ascii="Bookman Old Style" w:hAnsi="Bookman Old Style" w:cs="Times New Roman"/>
          <w:sz w:val="20"/>
          <w:szCs w:val="20"/>
        </w:rPr>
        <w:t>transport tran</w:t>
      </w:r>
      <w:r w:rsidRPr="00DA189B">
        <w:rPr>
          <w:rFonts w:ascii="Bookman Old Style" w:hAnsi="Bookman Old Style" w:cs="Times New Roman"/>
          <w:sz w:val="20"/>
          <w:szCs w:val="20"/>
        </w:rPr>
        <w:t>s</w:t>
      </w:r>
      <w:r w:rsidRPr="00DA189B">
        <w:rPr>
          <w:rFonts w:ascii="Bookman Old Style" w:hAnsi="Bookman Old Style" w:cs="Times New Roman"/>
          <w:sz w:val="20"/>
          <w:szCs w:val="20"/>
        </w:rPr>
        <w:t>féré</w:t>
      </w:r>
      <w:r w:rsidR="005D7809">
        <w:rPr>
          <w:rFonts w:ascii="Bookman Old Style" w:hAnsi="Bookman Old Style" w:cs="Times New Roman"/>
          <w:sz w:val="20"/>
          <w:szCs w:val="20"/>
        </w:rPr>
        <w:t>e</w:t>
      </w:r>
      <w:r w:rsidRPr="00DA189B">
        <w:rPr>
          <w:rFonts w:ascii="Bookman Old Style" w:hAnsi="Bookman Old Style" w:cs="Times New Roman"/>
          <w:sz w:val="20"/>
          <w:szCs w:val="20"/>
        </w:rPr>
        <w:t>s et à la gestion des fonds européens »</w:t>
      </w:r>
      <w:r w:rsidR="00765957">
        <w:rPr>
          <w:rFonts w:ascii="Bookman Old Style" w:hAnsi="Bookman Old Style" w:cs="Times New Roman"/>
          <w:sz w:val="20"/>
          <w:szCs w:val="20"/>
        </w:rPr>
        <w:t xml:space="preserve">, mais doit être recalculée à cause de la ventilation </w:t>
      </w:r>
      <w:r w:rsidR="005D7809">
        <w:rPr>
          <w:rFonts w:ascii="Bookman Old Style" w:hAnsi="Bookman Old Style" w:cs="Times New Roman"/>
          <w:sz w:val="20"/>
          <w:szCs w:val="20"/>
        </w:rPr>
        <w:t xml:space="preserve">imprécise des recettes </w:t>
      </w:r>
      <w:r w:rsidR="00765957">
        <w:rPr>
          <w:rFonts w:ascii="Bookman Old Style" w:hAnsi="Bookman Old Style" w:cs="Times New Roman"/>
          <w:sz w:val="20"/>
          <w:szCs w:val="20"/>
        </w:rPr>
        <w:t>par fonction</w:t>
      </w:r>
      <w:r w:rsidRPr="00DA189B">
        <w:rPr>
          <w:rFonts w:ascii="Bookman Old Style" w:hAnsi="Bookman Old Style" w:cs="Times New Roman"/>
          <w:sz w:val="20"/>
          <w:szCs w:val="20"/>
        </w:rPr>
        <w:t>.</w:t>
      </w:r>
    </w:p>
    <w:p w:rsidR="00765957" w:rsidRDefault="005D7809"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Pr>
          <w:rFonts w:ascii="Bookman Old Style" w:hAnsi="Bookman Old Style" w:cs="Times New Roman"/>
          <w:sz w:val="20"/>
          <w:szCs w:val="20"/>
        </w:rPr>
        <w:t>-</w:t>
      </w:r>
      <w:r w:rsidR="00472C18" w:rsidRPr="00DA189B">
        <w:rPr>
          <w:rFonts w:ascii="Bookman Old Style" w:hAnsi="Bookman Old Style" w:cs="Times New Roman"/>
          <w:sz w:val="20"/>
          <w:szCs w:val="20"/>
        </w:rPr>
        <w:t xml:space="preserve"> L’épargne brute</w:t>
      </w:r>
      <w:r w:rsidR="00765957" w:rsidRPr="00765957">
        <w:rPr>
          <w:rFonts w:ascii="Bookman Old Style" w:hAnsi="Bookman Old Style" w:cs="Times New Roman"/>
          <w:sz w:val="20"/>
          <w:szCs w:val="20"/>
        </w:rPr>
        <w:t xml:space="preserve"> </w:t>
      </w:r>
      <w:r w:rsidR="00765957" w:rsidRPr="00DA189B">
        <w:rPr>
          <w:rFonts w:ascii="Bookman Old Style" w:hAnsi="Bookman Old Style" w:cs="Times New Roman"/>
          <w:sz w:val="20"/>
          <w:szCs w:val="20"/>
        </w:rPr>
        <w:t xml:space="preserve">recalculée </w:t>
      </w:r>
      <w:proofErr w:type="spellStart"/>
      <w:r w:rsidR="00765957" w:rsidRPr="00DA189B">
        <w:rPr>
          <w:rFonts w:ascii="Bookman Old Style" w:hAnsi="Bookman Old Style" w:cs="Times New Roman"/>
          <w:sz w:val="20"/>
          <w:szCs w:val="20"/>
        </w:rPr>
        <w:t>EBc</w:t>
      </w:r>
      <w:proofErr w:type="spellEnd"/>
      <w:r w:rsidR="00472C18" w:rsidRPr="00DA189B">
        <w:rPr>
          <w:rFonts w:ascii="Bookman Old Style" w:hAnsi="Bookman Old Style" w:cs="Times New Roman"/>
          <w:sz w:val="20"/>
          <w:szCs w:val="20"/>
        </w:rPr>
        <w:t xml:space="preserve"> </w:t>
      </w:r>
      <w:r w:rsidR="00991680" w:rsidRPr="00DA189B">
        <w:rPr>
          <w:rFonts w:ascii="Bookman Old Style" w:hAnsi="Bookman Old Style" w:cs="Times New Roman"/>
          <w:sz w:val="20"/>
          <w:szCs w:val="20"/>
        </w:rPr>
        <w:t>(</w:t>
      </w:r>
      <w:r w:rsidR="00765957">
        <w:rPr>
          <w:rFonts w:ascii="Bookman Old Style" w:hAnsi="Bookman Old Style" w:cs="Times New Roman"/>
          <w:sz w:val="20"/>
          <w:szCs w:val="20"/>
        </w:rPr>
        <w:t xml:space="preserve">donc </w:t>
      </w:r>
      <w:r w:rsidR="00765957" w:rsidRPr="00DA189B">
        <w:rPr>
          <w:rFonts w:ascii="Bookman Old Style" w:hAnsi="Bookman Old Style" w:cs="Times New Roman"/>
          <w:sz w:val="20"/>
          <w:szCs w:val="20"/>
        </w:rPr>
        <w:t>non biaisée</w:t>
      </w:r>
      <w:r w:rsidR="00991680" w:rsidRPr="00DA189B">
        <w:rPr>
          <w:rFonts w:ascii="Bookman Old Style" w:hAnsi="Bookman Old Style" w:cs="Times New Roman"/>
          <w:sz w:val="20"/>
          <w:szCs w:val="20"/>
        </w:rPr>
        <w:t xml:space="preserve">), </w:t>
      </w:r>
      <w:r w:rsidR="00472C18" w:rsidRPr="00DA189B">
        <w:rPr>
          <w:rFonts w:ascii="Bookman Old Style" w:hAnsi="Bookman Old Style" w:cs="Times New Roman"/>
          <w:sz w:val="20"/>
          <w:szCs w:val="20"/>
        </w:rPr>
        <w:t xml:space="preserve">est </w:t>
      </w:r>
      <w:r>
        <w:rPr>
          <w:rFonts w:ascii="Bookman Old Style" w:hAnsi="Bookman Old Style" w:cs="Times New Roman"/>
          <w:sz w:val="20"/>
          <w:szCs w:val="20"/>
        </w:rPr>
        <w:t>équivalente à</w:t>
      </w:r>
      <w:r w:rsidR="00472C18" w:rsidRPr="00DA189B">
        <w:rPr>
          <w:rFonts w:ascii="Bookman Old Style" w:hAnsi="Bookman Old Style" w:cs="Times New Roman"/>
          <w:sz w:val="20"/>
          <w:szCs w:val="20"/>
        </w:rPr>
        <w:t xml:space="preserve"> l’</w:t>
      </w:r>
      <w:r w:rsidR="00991680" w:rsidRPr="00DA189B">
        <w:rPr>
          <w:rFonts w:ascii="Bookman Old Style" w:hAnsi="Bookman Old Style" w:cs="Times New Roman"/>
          <w:sz w:val="20"/>
          <w:szCs w:val="20"/>
        </w:rPr>
        <w:t>é</w:t>
      </w:r>
      <w:r w:rsidR="00472C18" w:rsidRPr="00DA189B">
        <w:rPr>
          <w:rFonts w:ascii="Bookman Old Style" w:hAnsi="Bookman Old Style" w:cs="Times New Roman"/>
          <w:sz w:val="20"/>
          <w:szCs w:val="20"/>
        </w:rPr>
        <w:t xml:space="preserve">pargne brute toutes fonctions confondue (EB). </w:t>
      </w:r>
    </w:p>
    <w:p w:rsidR="00472C18" w:rsidRPr="00DA189B" w:rsidRDefault="005D7809"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Pr>
          <w:rFonts w:ascii="Bookman Old Style" w:hAnsi="Bookman Old Style" w:cs="Times New Roman"/>
          <w:sz w:val="20"/>
          <w:szCs w:val="20"/>
        </w:rPr>
        <w:t xml:space="preserve">- </w:t>
      </w:r>
      <w:r w:rsidR="00472C18" w:rsidRPr="00DA189B">
        <w:rPr>
          <w:rFonts w:ascii="Bookman Old Style" w:hAnsi="Bookman Old Style" w:cs="Times New Roman"/>
          <w:sz w:val="20"/>
          <w:szCs w:val="20"/>
        </w:rPr>
        <w:t>Par ailleurs, les variables relatives aux flux de remboursements de dette (REMB) ne sont pas ventilées par fonction</w:t>
      </w:r>
      <w:r w:rsidR="00765957">
        <w:rPr>
          <w:rFonts w:ascii="Bookman Old Style" w:hAnsi="Bookman Old Style" w:cs="Times New Roman"/>
          <w:sz w:val="20"/>
          <w:szCs w:val="20"/>
        </w:rPr>
        <w:t>, il n’y a donc pas de retraitement à opérer</w:t>
      </w:r>
      <w:r w:rsidR="00472C18" w:rsidRPr="00DA189B">
        <w:rPr>
          <w:rFonts w:ascii="Bookman Old Style" w:hAnsi="Bookman Old Style" w:cs="Times New Roman"/>
          <w:sz w:val="20"/>
          <w:szCs w:val="20"/>
        </w:rPr>
        <w:t xml:space="preserve">. L’épargne nette à </w:t>
      </w:r>
      <w:r w:rsidR="00991680" w:rsidRPr="00DA189B">
        <w:rPr>
          <w:rFonts w:ascii="Bookman Old Style" w:hAnsi="Bookman Old Style" w:cs="Times New Roman"/>
          <w:sz w:val="20"/>
          <w:szCs w:val="20"/>
        </w:rPr>
        <w:t>retenir</w:t>
      </w:r>
      <w:r w:rsidR="00472C18" w:rsidRPr="00DA189B">
        <w:rPr>
          <w:rFonts w:ascii="Bookman Old Style" w:hAnsi="Bookman Old Style" w:cs="Times New Roman"/>
          <w:sz w:val="20"/>
          <w:szCs w:val="20"/>
        </w:rPr>
        <w:t xml:space="preserve"> est donc </w:t>
      </w:r>
      <w:r>
        <w:rPr>
          <w:rFonts w:ascii="Bookman Old Style" w:hAnsi="Bookman Old Style" w:cs="Times New Roman"/>
          <w:sz w:val="20"/>
          <w:szCs w:val="20"/>
        </w:rPr>
        <w:t xml:space="preserve">équivalente à </w:t>
      </w:r>
      <w:r w:rsidR="00472C18" w:rsidRPr="00DA189B">
        <w:rPr>
          <w:rFonts w:ascii="Bookman Old Style" w:hAnsi="Bookman Old Style" w:cs="Times New Roman"/>
          <w:sz w:val="20"/>
          <w:szCs w:val="20"/>
        </w:rPr>
        <w:t>celle</w:t>
      </w:r>
      <w:r w:rsidR="00991680" w:rsidRPr="00DA189B">
        <w:rPr>
          <w:rFonts w:ascii="Bookman Old Style" w:hAnsi="Bookman Old Style" w:cs="Times New Roman"/>
          <w:sz w:val="20"/>
          <w:szCs w:val="20"/>
        </w:rPr>
        <w:t xml:space="preserve"> « toutes fonctions confondues</w:t>
      </w:r>
      <w:r w:rsidR="006E33A0">
        <w:rPr>
          <w:rFonts w:ascii="Bookman Old Style" w:hAnsi="Bookman Old Style" w:cs="Times New Roman"/>
          <w:sz w:val="20"/>
          <w:szCs w:val="20"/>
        </w:rPr>
        <w:t> »</w:t>
      </w:r>
      <w:r w:rsidR="00991680" w:rsidRPr="00DA189B">
        <w:rPr>
          <w:rFonts w:ascii="Bookman Old Style" w:hAnsi="Bookman Old Style" w:cs="Times New Roman"/>
          <w:sz w:val="20"/>
          <w:szCs w:val="20"/>
        </w:rPr>
        <w:t xml:space="preserve"> : </w:t>
      </w:r>
      <w:proofErr w:type="spellStart"/>
      <w:r w:rsidR="00472C18" w:rsidRPr="00DA189B">
        <w:rPr>
          <w:rFonts w:ascii="Bookman Old Style" w:hAnsi="Bookman Old Style" w:cs="Times New Roman"/>
          <w:sz w:val="20"/>
          <w:szCs w:val="20"/>
        </w:rPr>
        <w:t>EN</w:t>
      </w:r>
      <w:r w:rsidR="00991680" w:rsidRPr="00DA189B">
        <w:rPr>
          <w:rFonts w:ascii="Bookman Old Style" w:hAnsi="Bookman Old Style" w:cs="Times New Roman"/>
          <w:sz w:val="20"/>
          <w:szCs w:val="20"/>
        </w:rPr>
        <w:t>c</w:t>
      </w:r>
      <w:proofErr w:type="spellEnd"/>
      <w:r w:rsidR="00991680" w:rsidRPr="00DA189B">
        <w:rPr>
          <w:rFonts w:ascii="Bookman Old Style" w:hAnsi="Bookman Old Style" w:cs="Times New Roman"/>
          <w:sz w:val="20"/>
          <w:szCs w:val="20"/>
        </w:rPr>
        <w:t xml:space="preserve"> = EB - REMB = EN.</w:t>
      </w:r>
    </w:p>
    <w:p w:rsidR="00E02EAF" w:rsidRDefault="006B692C"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cs="Times New Roman"/>
          <w:sz w:val="20"/>
          <w:szCs w:val="20"/>
        </w:rPr>
        <w:t>Contrairement aux recettes de fonctionnement, les recettes d’investissement sont correctement vent</w:t>
      </w:r>
      <w:r w:rsidRPr="00DA189B">
        <w:rPr>
          <w:rFonts w:ascii="Bookman Old Style" w:hAnsi="Bookman Old Style" w:cs="Times New Roman"/>
          <w:sz w:val="20"/>
          <w:szCs w:val="20"/>
        </w:rPr>
        <w:t>i</w:t>
      </w:r>
      <w:r w:rsidRPr="00DA189B">
        <w:rPr>
          <w:rFonts w:ascii="Bookman Old Style" w:hAnsi="Bookman Old Style" w:cs="Times New Roman"/>
          <w:sz w:val="20"/>
          <w:szCs w:val="20"/>
        </w:rPr>
        <w:t>lées. Il est donc inutile de recalculer des recettes d’investissements de la même façon qu’on avait reca</w:t>
      </w:r>
      <w:r w:rsidRPr="00DA189B">
        <w:rPr>
          <w:rFonts w:ascii="Bookman Old Style" w:hAnsi="Bookman Old Style" w:cs="Times New Roman"/>
          <w:sz w:val="20"/>
          <w:szCs w:val="20"/>
        </w:rPr>
        <w:t>l</w:t>
      </w:r>
      <w:r w:rsidRPr="00DA189B">
        <w:rPr>
          <w:rFonts w:ascii="Bookman Old Style" w:hAnsi="Bookman Old Style" w:cs="Times New Roman"/>
          <w:sz w:val="20"/>
          <w:szCs w:val="20"/>
        </w:rPr>
        <w:t>culé des recettes de fonctionnement</w:t>
      </w:r>
      <w:r w:rsidR="00472C18" w:rsidRPr="00DA189B">
        <w:rPr>
          <w:rFonts w:ascii="Bookman Old Style" w:hAnsi="Bookman Old Style" w:cs="Times New Roman"/>
          <w:sz w:val="20"/>
          <w:szCs w:val="20"/>
        </w:rPr>
        <w:t> ;</w:t>
      </w:r>
      <w:r w:rsidRPr="00DA189B">
        <w:rPr>
          <w:rFonts w:ascii="Bookman Old Style" w:hAnsi="Bookman Old Style" w:cs="Times New Roman"/>
          <w:sz w:val="20"/>
          <w:szCs w:val="20"/>
        </w:rPr>
        <w:t xml:space="preserve"> il faut prendre les recettes d’investissement diminuées de leurs montants </w:t>
      </w:r>
      <w:r w:rsidR="00765957">
        <w:rPr>
          <w:rFonts w:ascii="Bookman Old Style" w:hAnsi="Bookman Old Style" w:cs="Times New Roman"/>
          <w:sz w:val="20"/>
          <w:szCs w:val="20"/>
        </w:rPr>
        <w:t xml:space="preserve">correctement </w:t>
      </w:r>
      <w:r w:rsidRPr="00DA189B">
        <w:rPr>
          <w:rFonts w:ascii="Bookman Old Style" w:hAnsi="Bookman Old Style" w:cs="Times New Roman"/>
          <w:sz w:val="20"/>
          <w:szCs w:val="20"/>
        </w:rPr>
        <w:t>ventilés dans les fonctions transport transféré</w:t>
      </w:r>
      <w:r w:rsidR="005D7809">
        <w:rPr>
          <w:rFonts w:ascii="Bookman Old Style" w:hAnsi="Bookman Old Style" w:cs="Times New Roman"/>
          <w:sz w:val="20"/>
          <w:szCs w:val="20"/>
        </w:rPr>
        <w:t>es</w:t>
      </w:r>
      <w:r w:rsidRPr="00DA189B">
        <w:rPr>
          <w:rFonts w:ascii="Bookman Old Style" w:hAnsi="Bookman Old Style" w:cs="Times New Roman"/>
          <w:sz w:val="20"/>
          <w:szCs w:val="20"/>
        </w:rPr>
        <w:t xml:space="preserve"> et gestion de fonds européens</w:t>
      </w:r>
      <w:r w:rsidR="00472C18" w:rsidRPr="00DA189B">
        <w:rPr>
          <w:rFonts w:ascii="Bookman Old Style" w:hAnsi="Bookman Old Style" w:cs="Times New Roman"/>
          <w:sz w:val="20"/>
          <w:szCs w:val="20"/>
        </w:rPr>
        <w:t xml:space="preserve"> (</w:t>
      </w:r>
      <w:proofErr w:type="spellStart"/>
      <w:r w:rsidR="00472C18" w:rsidRPr="00DA189B">
        <w:rPr>
          <w:rFonts w:ascii="Bookman Old Style" w:hAnsi="Bookman Old Style" w:cs="Times New Roman"/>
          <w:sz w:val="20"/>
          <w:szCs w:val="20"/>
        </w:rPr>
        <w:t>RIHEh</w:t>
      </w:r>
      <w:proofErr w:type="spellEnd"/>
      <w:r w:rsidR="00472C18" w:rsidRPr="00DA189B">
        <w:rPr>
          <w:rFonts w:ascii="Bookman Old Style" w:hAnsi="Bookman Old Style" w:cs="Times New Roman"/>
          <w:sz w:val="20"/>
          <w:szCs w:val="20"/>
        </w:rPr>
        <w:t>)</w:t>
      </w:r>
      <w:r w:rsidRPr="00DA189B">
        <w:rPr>
          <w:rFonts w:ascii="Bookman Old Style" w:hAnsi="Bookman Old Style" w:cs="Times New Roman"/>
          <w:sz w:val="20"/>
          <w:szCs w:val="20"/>
        </w:rPr>
        <w:t>.</w:t>
      </w:r>
    </w:p>
    <w:p w:rsidR="006B692C" w:rsidRPr="00DA189B" w:rsidRDefault="00293BE6"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DA189B">
        <w:rPr>
          <w:rFonts w:ascii="Bookman Old Style" w:hAnsi="Bookman Old Style" w:cs="Times New Roman"/>
          <w:sz w:val="20"/>
          <w:szCs w:val="20"/>
        </w:rPr>
        <w:t xml:space="preserve">Par conséquent, </w:t>
      </w:r>
      <w:r w:rsidR="00E02EAF" w:rsidRPr="00DA189B">
        <w:rPr>
          <w:rFonts w:ascii="Bookman Old Style" w:hAnsi="Bookman Old Style" w:cs="Times New Roman"/>
          <w:sz w:val="20"/>
          <w:szCs w:val="20"/>
        </w:rPr>
        <w:t xml:space="preserve">le calcul </w:t>
      </w:r>
      <w:r w:rsidR="006B692C" w:rsidRPr="00DA189B">
        <w:rPr>
          <w:rFonts w:ascii="Bookman Old Style" w:hAnsi="Bookman Old Style" w:cs="Times New Roman"/>
          <w:sz w:val="20"/>
          <w:szCs w:val="20"/>
        </w:rPr>
        <w:t xml:space="preserve">non biaisé </w:t>
      </w:r>
      <w:r w:rsidR="00E02EAF" w:rsidRPr="00DA189B">
        <w:rPr>
          <w:rFonts w:ascii="Bookman Old Style" w:hAnsi="Bookman Old Style" w:cs="Times New Roman"/>
          <w:sz w:val="20"/>
          <w:szCs w:val="20"/>
        </w:rPr>
        <w:t>du taux d</w:t>
      </w:r>
      <w:r w:rsidRPr="00DA189B">
        <w:rPr>
          <w:rFonts w:ascii="Bookman Old Style" w:hAnsi="Bookman Old Style" w:cs="Times New Roman"/>
          <w:sz w:val="20"/>
          <w:szCs w:val="20"/>
        </w:rPr>
        <w:t xml:space="preserve">’autofinancement des investissements </w:t>
      </w:r>
      <w:r w:rsidR="00991680" w:rsidRPr="00DA189B">
        <w:rPr>
          <w:rFonts w:ascii="Bookman Old Style" w:hAnsi="Bookman Old Style" w:cs="Times New Roman"/>
          <w:sz w:val="20"/>
          <w:szCs w:val="20"/>
        </w:rPr>
        <w:t>est</w:t>
      </w:r>
      <w:r w:rsidR="00E02EAF" w:rsidRPr="00DA189B">
        <w:rPr>
          <w:rFonts w:ascii="Bookman Old Style" w:hAnsi="Bookman Old Style" w:cs="Times New Roman"/>
          <w:sz w:val="20"/>
          <w:szCs w:val="20"/>
        </w:rPr>
        <w:t xml:space="preserve"> : </w:t>
      </w:r>
    </w:p>
    <w:p w:rsidR="00293BE6" w:rsidRPr="00DA189B" w:rsidRDefault="00E02EAF" w:rsidP="00892242">
      <w:pPr>
        <w:pBdr>
          <w:top w:val="single" w:sz="4" w:space="1" w:color="auto"/>
          <w:left w:val="single" w:sz="4" w:space="1" w:color="auto"/>
          <w:bottom w:val="single" w:sz="4" w:space="1" w:color="auto"/>
          <w:right w:val="single" w:sz="4" w:space="1" w:color="auto"/>
        </w:pBdr>
        <w:spacing w:after="0" w:line="276" w:lineRule="auto"/>
        <w:jc w:val="center"/>
        <w:rPr>
          <w:rFonts w:ascii="Bookman Old Style" w:hAnsi="Bookman Old Style" w:cs="Times New Roman"/>
          <w:sz w:val="20"/>
          <w:szCs w:val="20"/>
        </w:rPr>
      </w:pPr>
      <w:proofErr w:type="spellStart"/>
      <w:r w:rsidRPr="00DA189B">
        <w:rPr>
          <w:rFonts w:ascii="Bookman Old Style" w:hAnsi="Bookman Old Style" w:cs="Times New Roman"/>
          <w:sz w:val="20"/>
          <w:szCs w:val="20"/>
        </w:rPr>
        <w:t>TAI</w:t>
      </w:r>
      <w:r w:rsidR="006B692C" w:rsidRPr="00DA189B">
        <w:rPr>
          <w:rFonts w:ascii="Bookman Old Style" w:hAnsi="Bookman Old Style" w:cs="Times New Roman"/>
          <w:sz w:val="20"/>
          <w:szCs w:val="20"/>
        </w:rPr>
        <w:t>c</w:t>
      </w:r>
      <w:proofErr w:type="spellEnd"/>
      <w:r w:rsidRPr="00DA189B">
        <w:rPr>
          <w:rFonts w:ascii="Bookman Old Style" w:hAnsi="Bookman Old Style" w:cs="Times New Roman"/>
          <w:sz w:val="20"/>
          <w:szCs w:val="20"/>
        </w:rPr>
        <w:t xml:space="preserve"> = (</w:t>
      </w:r>
      <w:proofErr w:type="spellStart"/>
      <w:r w:rsidRPr="00DA189B">
        <w:rPr>
          <w:rFonts w:ascii="Bookman Old Style" w:hAnsi="Bookman Old Style" w:cs="Times New Roman"/>
          <w:sz w:val="20"/>
          <w:szCs w:val="20"/>
        </w:rPr>
        <w:t>EN</w:t>
      </w:r>
      <w:r w:rsidR="00991680" w:rsidRPr="00DA189B">
        <w:rPr>
          <w:rFonts w:ascii="Bookman Old Style" w:hAnsi="Bookman Old Style" w:cs="Times New Roman"/>
          <w:sz w:val="20"/>
          <w:szCs w:val="20"/>
        </w:rPr>
        <w:t>c</w:t>
      </w:r>
      <w:proofErr w:type="spellEnd"/>
      <w:r w:rsidRPr="00DA189B">
        <w:rPr>
          <w:rFonts w:ascii="Bookman Old Style" w:hAnsi="Bookman Old Style" w:cs="Times New Roman"/>
          <w:sz w:val="20"/>
          <w:szCs w:val="20"/>
        </w:rPr>
        <w:t xml:space="preserve"> + </w:t>
      </w:r>
      <w:proofErr w:type="spellStart"/>
      <w:r w:rsidRPr="00DA189B">
        <w:rPr>
          <w:rFonts w:ascii="Bookman Old Style" w:hAnsi="Bookman Old Style" w:cs="Times New Roman"/>
          <w:sz w:val="20"/>
          <w:szCs w:val="20"/>
        </w:rPr>
        <w:t>RIHE</w:t>
      </w:r>
      <w:r w:rsidR="006B692C" w:rsidRPr="00DA189B">
        <w:rPr>
          <w:rFonts w:ascii="Bookman Old Style" w:hAnsi="Bookman Old Style" w:cs="Times New Roman"/>
          <w:sz w:val="20"/>
          <w:szCs w:val="20"/>
        </w:rPr>
        <w:t>h</w:t>
      </w:r>
      <w:proofErr w:type="spellEnd"/>
      <w:r w:rsidR="00293BE6" w:rsidRPr="00DA189B">
        <w:rPr>
          <w:rFonts w:ascii="Bookman Old Style" w:hAnsi="Bookman Old Style" w:cs="Times New Roman"/>
          <w:sz w:val="20"/>
          <w:szCs w:val="20"/>
        </w:rPr>
        <w:t xml:space="preserve">) / </w:t>
      </w:r>
      <w:proofErr w:type="spellStart"/>
      <w:r w:rsidR="00293BE6" w:rsidRPr="00DA189B">
        <w:rPr>
          <w:rFonts w:ascii="Bookman Old Style" w:hAnsi="Bookman Old Style" w:cs="Times New Roman"/>
          <w:sz w:val="20"/>
          <w:szCs w:val="20"/>
        </w:rPr>
        <w:t>DI</w:t>
      </w:r>
      <w:r w:rsidRPr="00DA189B">
        <w:rPr>
          <w:rFonts w:ascii="Bookman Old Style" w:hAnsi="Bookman Old Style" w:cs="Times New Roman"/>
          <w:sz w:val="20"/>
          <w:szCs w:val="20"/>
        </w:rPr>
        <w:t>HR</w:t>
      </w:r>
      <w:r w:rsidR="00293BE6" w:rsidRPr="00DA189B">
        <w:rPr>
          <w:rFonts w:ascii="Bookman Old Style" w:hAnsi="Bookman Old Style" w:cs="Times New Roman"/>
          <w:sz w:val="20"/>
          <w:szCs w:val="20"/>
        </w:rPr>
        <w:t>h</w:t>
      </w:r>
      <w:proofErr w:type="spellEnd"/>
      <w:r w:rsidR="00293BE6" w:rsidRPr="00DA189B">
        <w:rPr>
          <w:rFonts w:ascii="Bookman Old Style" w:hAnsi="Bookman Old Style" w:cs="Times New Roman"/>
          <w:sz w:val="20"/>
          <w:szCs w:val="20"/>
        </w:rPr>
        <w:t xml:space="preserve"> = (E</w:t>
      </w:r>
      <w:r w:rsidR="006B692C" w:rsidRPr="00DA189B">
        <w:rPr>
          <w:rFonts w:ascii="Bookman Old Style" w:hAnsi="Bookman Old Style" w:cs="Times New Roman"/>
          <w:sz w:val="20"/>
          <w:szCs w:val="20"/>
        </w:rPr>
        <w:t>B</w:t>
      </w:r>
      <w:r w:rsidR="00293BE6" w:rsidRPr="00DA189B">
        <w:rPr>
          <w:rFonts w:ascii="Bookman Old Style" w:hAnsi="Bookman Old Style" w:cs="Times New Roman"/>
          <w:sz w:val="20"/>
          <w:szCs w:val="20"/>
        </w:rPr>
        <w:t xml:space="preserve"> - REMB + </w:t>
      </w:r>
      <w:proofErr w:type="spellStart"/>
      <w:r w:rsidR="00293BE6" w:rsidRPr="00DA189B">
        <w:rPr>
          <w:rFonts w:ascii="Bookman Old Style" w:hAnsi="Bookman Old Style" w:cs="Times New Roman"/>
          <w:sz w:val="20"/>
          <w:szCs w:val="20"/>
        </w:rPr>
        <w:t>RI</w:t>
      </w:r>
      <w:r w:rsidRPr="00DA189B">
        <w:rPr>
          <w:rFonts w:ascii="Bookman Old Style" w:hAnsi="Bookman Old Style" w:cs="Times New Roman"/>
          <w:sz w:val="20"/>
          <w:szCs w:val="20"/>
        </w:rPr>
        <w:t>HE</w:t>
      </w:r>
      <w:r w:rsidR="006B692C" w:rsidRPr="00DA189B">
        <w:rPr>
          <w:rFonts w:ascii="Bookman Old Style" w:hAnsi="Bookman Old Style" w:cs="Times New Roman"/>
          <w:sz w:val="20"/>
          <w:szCs w:val="20"/>
        </w:rPr>
        <w:t>h</w:t>
      </w:r>
      <w:proofErr w:type="spellEnd"/>
      <w:r w:rsidR="00293BE6" w:rsidRPr="00DA189B">
        <w:rPr>
          <w:rFonts w:ascii="Bookman Old Style" w:hAnsi="Bookman Old Style" w:cs="Times New Roman"/>
          <w:sz w:val="20"/>
          <w:szCs w:val="20"/>
        </w:rPr>
        <w:t xml:space="preserve">) / </w:t>
      </w:r>
      <w:proofErr w:type="spellStart"/>
      <w:r w:rsidR="00293BE6" w:rsidRPr="00DA189B">
        <w:rPr>
          <w:rFonts w:ascii="Bookman Old Style" w:hAnsi="Bookman Old Style" w:cs="Times New Roman"/>
          <w:sz w:val="20"/>
          <w:szCs w:val="20"/>
        </w:rPr>
        <w:t>DI</w:t>
      </w:r>
      <w:r w:rsidRPr="00DA189B">
        <w:rPr>
          <w:rFonts w:ascii="Bookman Old Style" w:hAnsi="Bookman Old Style" w:cs="Times New Roman"/>
          <w:sz w:val="20"/>
          <w:szCs w:val="20"/>
        </w:rPr>
        <w:t>HR</w:t>
      </w:r>
      <w:r w:rsidR="00293BE6" w:rsidRPr="00DA189B">
        <w:rPr>
          <w:rFonts w:ascii="Bookman Old Style" w:hAnsi="Bookman Old Style" w:cs="Times New Roman"/>
          <w:sz w:val="20"/>
          <w:szCs w:val="20"/>
        </w:rPr>
        <w:t>h</w:t>
      </w:r>
      <w:proofErr w:type="spellEnd"/>
    </w:p>
    <w:p w:rsidR="00293BE6" w:rsidRPr="00DA189B" w:rsidRDefault="00293BE6" w:rsidP="00E7356E">
      <w:pPr>
        <w:pBdr>
          <w:top w:val="single" w:sz="4" w:space="1" w:color="auto"/>
          <w:left w:val="single" w:sz="4" w:space="1" w:color="auto"/>
          <w:bottom w:val="single" w:sz="4" w:space="1" w:color="auto"/>
          <w:right w:val="single" w:sz="4" w:space="1" w:color="auto"/>
        </w:pBdr>
        <w:spacing w:after="0" w:line="240" w:lineRule="auto"/>
        <w:jc w:val="both"/>
        <w:rPr>
          <w:rFonts w:ascii="Bookman Old Style" w:hAnsi="Bookman Old Style" w:cs="Times New Roman"/>
          <w:sz w:val="20"/>
          <w:szCs w:val="20"/>
        </w:rPr>
      </w:pPr>
    </w:p>
    <w:p w:rsidR="00293BE6" w:rsidRPr="00DA189B" w:rsidRDefault="006B692C" w:rsidP="00293BE6">
      <w:pPr>
        <w:pBdr>
          <w:top w:val="single" w:sz="4" w:space="1" w:color="auto"/>
          <w:left w:val="single" w:sz="4" w:space="1" w:color="auto"/>
          <w:bottom w:val="single" w:sz="4" w:space="1" w:color="auto"/>
          <w:right w:val="single" w:sz="4" w:space="1" w:color="auto"/>
        </w:pBdr>
        <w:tabs>
          <w:tab w:val="left" w:pos="5954"/>
        </w:tabs>
        <w:spacing w:after="0"/>
        <w:ind w:firstLine="1276"/>
        <w:rPr>
          <w:rFonts w:ascii="Bookman Old Style" w:hAnsi="Bookman Old Style" w:cs="Times New Roman"/>
          <w:sz w:val="20"/>
          <w:szCs w:val="20"/>
        </w:rPr>
      </w:pPr>
      <w:r w:rsidRPr="00DA189B">
        <w:rPr>
          <w:rFonts w:ascii="Bookman Old Style" w:hAnsi="Bookman Old Style" w:cs="Times New Roman"/>
          <w:sz w:val="20"/>
          <w:szCs w:val="20"/>
        </w:rPr>
        <w:t>Dépenses d’investissement</w:t>
      </w:r>
      <w:r w:rsidR="00293BE6" w:rsidRPr="00DA189B">
        <w:rPr>
          <w:rFonts w:ascii="Bookman Old Style" w:hAnsi="Bookman Old Style" w:cs="Times New Roman"/>
          <w:sz w:val="20"/>
          <w:szCs w:val="20"/>
        </w:rPr>
        <w:tab/>
      </w:r>
      <w:r w:rsidRPr="00DA189B">
        <w:rPr>
          <w:rFonts w:ascii="Bookman Old Style" w:hAnsi="Bookman Old Style" w:cs="Times New Roman"/>
          <w:sz w:val="20"/>
          <w:szCs w:val="20"/>
        </w:rPr>
        <w:t>Recettes d’investissement</w:t>
      </w:r>
    </w:p>
    <w:p w:rsidR="00293BE6" w:rsidRPr="00DA189B" w:rsidRDefault="00224D1B" w:rsidP="00E7356E">
      <w:pPr>
        <w:pBdr>
          <w:top w:val="single" w:sz="4" w:space="1" w:color="auto"/>
          <w:left w:val="single" w:sz="4" w:space="1" w:color="auto"/>
          <w:bottom w:val="single" w:sz="4" w:space="1" w:color="auto"/>
          <w:right w:val="single" w:sz="4" w:space="1" w:color="auto"/>
        </w:pBdr>
        <w:spacing w:after="0" w:line="240" w:lineRule="auto"/>
        <w:jc w:val="both"/>
        <w:rPr>
          <w:rFonts w:ascii="Bookman Old Style" w:hAnsi="Bookman Old Style" w:cs="Times New Roman"/>
          <w:sz w:val="20"/>
          <w:szCs w:val="20"/>
        </w:rPr>
      </w:pPr>
      <w:r w:rsidRPr="00224D1B">
        <w:rPr>
          <w:noProof/>
          <w:szCs w:val="20"/>
          <w:lang w:eastAsia="fr-FR"/>
        </w:rPr>
        <w:drawing>
          <wp:inline distT="0" distB="0" distL="0" distR="0">
            <wp:extent cx="3095211" cy="2281105"/>
            <wp:effectExtent l="19050" t="0" r="0" b="0"/>
            <wp:docPr id="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102007" cy="2286114"/>
                    </a:xfrm>
                    <a:prstGeom prst="rect">
                      <a:avLst/>
                    </a:prstGeom>
                    <a:noFill/>
                    <a:ln w="9525">
                      <a:noFill/>
                      <a:miter lim="800000"/>
                      <a:headEnd/>
                      <a:tailEnd/>
                    </a:ln>
                  </pic:spPr>
                </pic:pic>
              </a:graphicData>
            </a:graphic>
          </wp:inline>
        </w:drawing>
      </w:r>
      <w:r w:rsidR="006B692C" w:rsidRPr="00DA189B">
        <w:rPr>
          <w:rFonts w:ascii="Bookman Old Style" w:hAnsi="Bookman Old Style" w:cs="Times New Roman"/>
          <w:sz w:val="20"/>
          <w:szCs w:val="20"/>
        </w:rPr>
        <w:t xml:space="preserve"> </w:t>
      </w:r>
      <w:r w:rsidR="006F50C6" w:rsidRPr="00DA189B">
        <w:rPr>
          <w:rFonts w:ascii="Bookman Old Style" w:hAnsi="Bookman Old Style"/>
          <w:noProof/>
          <w:sz w:val="20"/>
          <w:szCs w:val="20"/>
          <w:lang w:eastAsia="fr-FR"/>
        </w:rPr>
        <w:drawing>
          <wp:inline distT="0" distB="0" distL="0" distR="0">
            <wp:extent cx="3095211" cy="2281105"/>
            <wp:effectExtent l="19050" t="0" r="0" b="0"/>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3097919" cy="2283101"/>
                    </a:xfrm>
                    <a:prstGeom prst="rect">
                      <a:avLst/>
                    </a:prstGeom>
                    <a:noFill/>
                    <a:ln w="9525">
                      <a:noFill/>
                      <a:miter lim="800000"/>
                      <a:headEnd/>
                      <a:tailEnd/>
                    </a:ln>
                  </pic:spPr>
                </pic:pic>
              </a:graphicData>
            </a:graphic>
          </wp:inline>
        </w:drawing>
      </w:r>
    </w:p>
    <w:p w:rsidR="00293BE6" w:rsidRPr="00892242" w:rsidRDefault="00293BE6" w:rsidP="00E7356E">
      <w:pPr>
        <w:pBdr>
          <w:top w:val="single" w:sz="4" w:space="1" w:color="auto"/>
          <w:left w:val="single" w:sz="4" w:space="1" w:color="auto"/>
          <w:bottom w:val="single" w:sz="4" w:space="1" w:color="auto"/>
          <w:right w:val="single" w:sz="4" w:space="1" w:color="auto"/>
        </w:pBdr>
        <w:spacing w:after="0" w:line="240" w:lineRule="auto"/>
        <w:jc w:val="both"/>
        <w:rPr>
          <w:rFonts w:ascii="Bookman Old Style" w:hAnsi="Bookman Old Style" w:cs="Times New Roman"/>
          <w:sz w:val="20"/>
          <w:szCs w:val="20"/>
        </w:rPr>
      </w:pPr>
    </w:p>
    <w:p w:rsidR="006F50C6" w:rsidRPr="00892242" w:rsidRDefault="006F50C6" w:rsidP="006F50C6">
      <w:pPr>
        <w:pBdr>
          <w:top w:val="single" w:sz="4" w:space="1" w:color="auto"/>
          <w:left w:val="single" w:sz="4" w:space="1" w:color="auto"/>
          <w:bottom w:val="single" w:sz="4" w:space="1" w:color="auto"/>
          <w:right w:val="single" w:sz="4" w:space="1" w:color="auto"/>
        </w:pBdr>
        <w:tabs>
          <w:tab w:val="left" w:pos="5387"/>
        </w:tabs>
        <w:spacing w:after="0"/>
        <w:ind w:firstLine="1276"/>
        <w:rPr>
          <w:rFonts w:ascii="Bookman Old Style" w:hAnsi="Bookman Old Style" w:cs="Times New Roman"/>
          <w:sz w:val="20"/>
          <w:szCs w:val="20"/>
        </w:rPr>
      </w:pPr>
      <w:r w:rsidRPr="00892242">
        <w:rPr>
          <w:rFonts w:ascii="Bookman Old Style" w:hAnsi="Bookman Old Style" w:cs="Times New Roman"/>
          <w:sz w:val="20"/>
          <w:szCs w:val="20"/>
        </w:rPr>
        <w:t>Épargne nette</w:t>
      </w:r>
      <w:r w:rsidRPr="00892242">
        <w:rPr>
          <w:rFonts w:ascii="Bookman Old Style" w:hAnsi="Bookman Old Style" w:cs="Times New Roman"/>
          <w:sz w:val="20"/>
          <w:szCs w:val="20"/>
        </w:rPr>
        <w:tab/>
        <w:t>Taux d’autofinancement des investissements</w:t>
      </w:r>
    </w:p>
    <w:p w:rsidR="006F50C6" w:rsidRPr="00892242" w:rsidRDefault="00991680" w:rsidP="00E7356E">
      <w:pPr>
        <w:pBdr>
          <w:top w:val="single" w:sz="4" w:space="1" w:color="auto"/>
          <w:left w:val="single" w:sz="4" w:space="1" w:color="auto"/>
          <w:bottom w:val="single" w:sz="4" w:space="1" w:color="auto"/>
          <w:right w:val="single" w:sz="4" w:space="1" w:color="auto"/>
        </w:pBdr>
        <w:spacing w:after="0" w:line="240" w:lineRule="auto"/>
        <w:jc w:val="both"/>
        <w:rPr>
          <w:rFonts w:ascii="Bookman Old Style" w:hAnsi="Bookman Old Style" w:cs="Times New Roman"/>
          <w:sz w:val="20"/>
          <w:szCs w:val="20"/>
        </w:rPr>
      </w:pPr>
      <w:r w:rsidRPr="00892242">
        <w:rPr>
          <w:rFonts w:ascii="Bookman Old Style" w:hAnsi="Bookman Old Style"/>
          <w:noProof/>
          <w:sz w:val="20"/>
          <w:szCs w:val="20"/>
          <w:lang w:eastAsia="fr-FR"/>
        </w:rPr>
        <w:drawing>
          <wp:inline distT="0" distB="0" distL="0" distR="0">
            <wp:extent cx="3095211" cy="2281104"/>
            <wp:effectExtent l="19050" t="0" r="0" b="0"/>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099233" cy="2284068"/>
                    </a:xfrm>
                    <a:prstGeom prst="rect">
                      <a:avLst/>
                    </a:prstGeom>
                    <a:noFill/>
                    <a:ln w="9525">
                      <a:noFill/>
                      <a:miter lim="800000"/>
                      <a:headEnd/>
                      <a:tailEnd/>
                    </a:ln>
                  </pic:spPr>
                </pic:pic>
              </a:graphicData>
            </a:graphic>
          </wp:inline>
        </w:drawing>
      </w:r>
      <w:r w:rsidR="006F50C6" w:rsidRPr="00892242">
        <w:rPr>
          <w:rFonts w:ascii="Bookman Old Style" w:hAnsi="Bookman Old Style" w:cs="Times New Roman"/>
          <w:sz w:val="20"/>
          <w:szCs w:val="20"/>
        </w:rPr>
        <w:t xml:space="preserve"> </w:t>
      </w:r>
      <w:r w:rsidR="00953B4B" w:rsidRPr="00892242">
        <w:rPr>
          <w:rFonts w:ascii="Bookman Old Style" w:hAnsi="Bookman Old Style"/>
          <w:noProof/>
          <w:sz w:val="20"/>
          <w:szCs w:val="20"/>
          <w:lang w:eastAsia="fr-FR"/>
        </w:rPr>
        <w:drawing>
          <wp:inline distT="0" distB="0" distL="0" distR="0">
            <wp:extent cx="3098513" cy="2283538"/>
            <wp:effectExtent l="19050" t="0" r="6637" b="0"/>
            <wp:docPr id="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100763" cy="2285196"/>
                    </a:xfrm>
                    <a:prstGeom prst="rect">
                      <a:avLst/>
                    </a:prstGeom>
                    <a:noFill/>
                    <a:ln w="9525">
                      <a:noFill/>
                      <a:miter lim="800000"/>
                      <a:headEnd/>
                      <a:tailEnd/>
                    </a:ln>
                  </pic:spPr>
                </pic:pic>
              </a:graphicData>
            </a:graphic>
          </wp:inline>
        </w:drawing>
      </w:r>
    </w:p>
    <w:p w:rsidR="00257D67" w:rsidRPr="00892242" w:rsidRDefault="00257D67" w:rsidP="00E7356E">
      <w:pPr>
        <w:pBdr>
          <w:top w:val="single" w:sz="4" w:space="1" w:color="auto"/>
          <w:left w:val="single" w:sz="4" w:space="1" w:color="auto"/>
          <w:bottom w:val="single" w:sz="4" w:space="1" w:color="auto"/>
          <w:right w:val="single" w:sz="4" w:space="1" w:color="auto"/>
        </w:pBdr>
        <w:spacing w:after="0" w:line="240" w:lineRule="auto"/>
        <w:jc w:val="both"/>
        <w:rPr>
          <w:rFonts w:ascii="Bookman Old Style" w:hAnsi="Bookman Old Style" w:cs="Times New Roman"/>
          <w:sz w:val="20"/>
          <w:szCs w:val="20"/>
        </w:rPr>
      </w:pPr>
    </w:p>
    <w:p w:rsidR="00257D67" w:rsidRPr="00892242" w:rsidRDefault="00257D67"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u w:val="single"/>
        </w:rPr>
      </w:pPr>
      <w:r w:rsidRPr="00892242">
        <w:rPr>
          <w:rFonts w:ascii="Bookman Old Style" w:hAnsi="Bookman Old Style" w:cs="Times New Roman"/>
          <w:sz w:val="20"/>
          <w:szCs w:val="20"/>
          <w:u w:val="single"/>
        </w:rPr>
        <w:t>L</w:t>
      </w:r>
      <w:r w:rsidR="00293BE6" w:rsidRPr="00892242">
        <w:rPr>
          <w:rFonts w:ascii="Bookman Old Style" w:hAnsi="Bookman Old Style" w:cs="Times New Roman"/>
          <w:sz w:val="20"/>
          <w:szCs w:val="20"/>
          <w:u w:val="single"/>
        </w:rPr>
        <w:t>e délai</w:t>
      </w:r>
      <w:r w:rsidRPr="00892242">
        <w:rPr>
          <w:rFonts w:ascii="Bookman Old Style" w:hAnsi="Bookman Old Style" w:cs="Times New Roman"/>
          <w:sz w:val="20"/>
          <w:szCs w:val="20"/>
          <w:u w:val="single"/>
        </w:rPr>
        <w:t xml:space="preserve"> de désendettement</w:t>
      </w:r>
    </w:p>
    <w:p w:rsidR="00765957" w:rsidRDefault="00293BE6" w:rsidP="00892242">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892242">
        <w:rPr>
          <w:rFonts w:ascii="Bookman Old Style" w:hAnsi="Bookman Old Style" w:cs="Times New Roman"/>
          <w:sz w:val="20"/>
          <w:szCs w:val="20"/>
        </w:rPr>
        <w:t xml:space="preserve">Cet indicateur rapporte l’encours de dette à l’épargne brute. </w:t>
      </w:r>
      <w:r w:rsidR="004E4342" w:rsidRPr="00892242">
        <w:rPr>
          <w:rFonts w:ascii="Bookman Old Style" w:hAnsi="Bookman Old Style" w:cs="Times New Roman"/>
          <w:sz w:val="20"/>
          <w:szCs w:val="20"/>
        </w:rPr>
        <w:t>Comme l</w:t>
      </w:r>
      <w:r w:rsidR="00765957">
        <w:rPr>
          <w:rFonts w:ascii="Bookman Old Style" w:hAnsi="Bookman Old Style" w:cs="Times New Roman"/>
          <w:sz w:val="20"/>
          <w:szCs w:val="20"/>
        </w:rPr>
        <w:t>a</w:t>
      </w:r>
      <w:r w:rsidR="004E4342" w:rsidRPr="00892242">
        <w:rPr>
          <w:rFonts w:ascii="Bookman Old Style" w:hAnsi="Bookman Old Style" w:cs="Times New Roman"/>
          <w:sz w:val="20"/>
          <w:szCs w:val="20"/>
        </w:rPr>
        <w:t xml:space="preserve"> dette n</w:t>
      </w:r>
      <w:r w:rsidR="00765957">
        <w:rPr>
          <w:rFonts w:ascii="Bookman Old Style" w:hAnsi="Bookman Old Style" w:cs="Times New Roman"/>
          <w:sz w:val="20"/>
          <w:szCs w:val="20"/>
        </w:rPr>
        <w:t>’es</w:t>
      </w:r>
      <w:r w:rsidR="004E4342" w:rsidRPr="00892242">
        <w:rPr>
          <w:rFonts w:ascii="Bookman Old Style" w:hAnsi="Bookman Old Style" w:cs="Times New Roman"/>
          <w:sz w:val="20"/>
          <w:szCs w:val="20"/>
        </w:rPr>
        <w:t>t pas ventilé</w:t>
      </w:r>
      <w:r w:rsidRPr="00892242">
        <w:rPr>
          <w:rFonts w:ascii="Bookman Old Style" w:hAnsi="Bookman Old Style" w:cs="Times New Roman"/>
          <w:sz w:val="20"/>
          <w:szCs w:val="20"/>
        </w:rPr>
        <w:t>e</w:t>
      </w:r>
      <w:r w:rsidR="004E4342" w:rsidRPr="00892242">
        <w:rPr>
          <w:rFonts w:ascii="Bookman Old Style" w:hAnsi="Bookman Old Style" w:cs="Times New Roman"/>
          <w:sz w:val="20"/>
          <w:szCs w:val="20"/>
        </w:rPr>
        <w:t xml:space="preserve"> par fon</w:t>
      </w:r>
      <w:r w:rsidR="004E4342" w:rsidRPr="00892242">
        <w:rPr>
          <w:rFonts w:ascii="Bookman Old Style" w:hAnsi="Bookman Old Style" w:cs="Times New Roman"/>
          <w:sz w:val="20"/>
          <w:szCs w:val="20"/>
        </w:rPr>
        <w:t>c</w:t>
      </w:r>
      <w:r w:rsidR="004E4342" w:rsidRPr="00892242">
        <w:rPr>
          <w:rFonts w:ascii="Bookman Old Style" w:hAnsi="Bookman Old Style" w:cs="Times New Roman"/>
          <w:sz w:val="20"/>
          <w:szCs w:val="20"/>
        </w:rPr>
        <w:t xml:space="preserve">tion, les traitements </w:t>
      </w:r>
      <w:r w:rsidRPr="00892242">
        <w:rPr>
          <w:rFonts w:ascii="Bookman Old Style" w:hAnsi="Bookman Old Style" w:cs="Times New Roman"/>
          <w:sz w:val="20"/>
          <w:szCs w:val="20"/>
        </w:rPr>
        <w:t>précédents</w:t>
      </w:r>
      <w:r w:rsidR="004E4342" w:rsidRPr="00892242">
        <w:rPr>
          <w:rFonts w:ascii="Bookman Old Style" w:hAnsi="Bookman Old Style" w:cs="Times New Roman"/>
          <w:sz w:val="20"/>
          <w:szCs w:val="20"/>
        </w:rPr>
        <w:t xml:space="preserve"> pour neutraliser l’influence des transferts de transports et </w:t>
      </w:r>
      <w:r w:rsidR="005D7809">
        <w:rPr>
          <w:rFonts w:ascii="Bookman Old Style" w:hAnsi="Bookman Old Style" w:cs="Times New Roman"/>
          <w:sz w:val="20"/>
          <w:szCs w:val="20"/>
        </w:rPr>
        <w:t xml:space="preserve">celle </w:t>
      </w:r>
      <w:r w:rsidR="004E4342" w:rsidRPr="00892242">
        <w:rPr>
          <w:rFonts w:ascii="Bookman Old Style" w:hAnsi="Bookman Old Style" w:cs="Times New Roman"/>
          <w:sz w:val="20"/>
          <w:szCs w:val="20"/>
        </w:rPr>
        <w:t xml:space="preserve">de la gestion des fonds européens </w:t>
      </w:r>
      <w:r w:rsidRPr="00892242">
        <w:rPr>
          <w:rFonts w:ascii="Bookman Old Style" w:hAnsi="Bookman Old Style" w:cs="Times New Roman"/>
          <w:sz w:val="20"/>
          <w:szCs w:val="20"/>
        </w:rPr>
        <w:t xml:space="preserve">ne </w:t>
      </w:r>
      <w:r w:rsidR="004E4342" w:rsidRPr="00892242">
        <w:rPr>
          <w:rFonts w:ascii="Bookman Old Style" w:hAnsi="Bookman Old Style" w:cs="Times New Roman"/>
          <w:sz w:val="20"/>
          <w:szCs w:val="20"/>
        </w:rPr>
        <w:t>sont</w:t>
      </w:r>
      <w:r w:rsidRPr="00892242">
        <w:rPr>
          <w:rFonts w:ascii="Bookman Old Style" w:hAnsi="Bookman Old Style" w:cs="Times New Roman"/>
          <w:sz w:val="20"/>
          <w:szCs w:val="20"/>
        </w:rPr>
        <w:t xml:space="preserve"> pas</w:t>
      </w:r>
      <w:r w:rsidR="004E4342" w:rsidRPr="00892242">
        <w:rPr>
          <w:rFonts w:ascii="Bookman Old Style" w:hAnsi="Bookman Old Style" w:cs="Times New Roman"/>
          <w:sz w:val="20"/>
          <w:szCs w:val="20"/>
        </w:rPr>
        <w:t xml:space="preserve"> </w:t>
      </w:r>
      <w:r w:rsidR="00765957">
        <w:rPr>
          <w:rFonts w:ascii="Bookman Old Style" w:hAnsi="Bookman Old Style" w:cs="Times New Roman"/>
          <w:sz w:val="20"/>
          <w:szCs w:val="20"/>
        </w:rPr>
        <w:t>nécessaires pour la dette</w:t>
      </w:r>
      <w:r w:rsidR="004E4342" w:rsidRPr="00892242">
        <w:rPr>
          <w:rFonts w:ascii="Bookman Old Style" w:hAnsi="Bookman Old Style" w:cs="Times New Roman"/>
          <w:sz w:val="20"/>
          <w:szCs w:val="20"/>
        </w:rPr>
        <w:t>.</w:t>
      </w:r>
      <w:r w:rsidRPr="00892242">
        <w:rPr>
          <w:rFonts w:ascii="Bookman Old Style" w:hAnsi="Bookman Old Style" w:cs="Times New Roman"/>
          <w:sz w:val="20"/>
          <w:szCs w:val="20"/>
        </w:rPr>
        <w:t xml:space="preserve"> </w:t>
      </w:r>
    </w:p>
    <w:p w:rsidR="006C777E" w:rsidRDefault="00293BE6" w:rsidP="005D7809">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pPr>
      <w:r w:rsidRPr="00892242">
        <w:rPr>
          <w:rFonts w:ascii="Bookman Old Style" w:hAnsi="Bookman Old Style" w:cs="Times New Roman"/>
          <w:sz w:val="20"/>
          <w:szCs w:val="20"/>
        </w:rPr>
        <w:t xml:space="preserve">Comme par ailleurs l’épargne brute recalculée </w:t>
      </w:r>
      <w:r w:rsidR="00991680" w:rsidRPr="00892242">
        <w:rPr>
          <w:rFonts w:ascii="Bookman Old Style" w:hAnsi="Bookman Old Style" w:cs="Times New Roman"/>
          <w:sz w:val="20"/>
          <w:szCs w:val="20"/>
        </w:rPr>
        <w:t xml:space="preserve">(non biaisée) </w:t>
      </w:r>
      <w:r w:rsidRPr="00892242">
        <w:rPr>
          <w:rFonts w:ascii="Bookman Old Style" w:hAnsi="Bookman Old Style" w:cs="Times New Roman"/>
          <w:sz w:val="20"/>
          <w:szCs w:val="20"/>
        </w:rPr>
        <w:t xml:space="preserve">est en fait identique à l’épargne brute </w:t>
      </w:r>
      <w:r w:rsidR="00765957">
        <w:rPr>
          <w:rFonts w:ascii="Bookman Old Style" w:hAnsi="Bookman Old Style" w:cs="Times New Roman"/>
          <w:sz w:val="20"/>
          <w:szCs w:val="20"/>
        </w:rPr>
        <w:t>toutes</w:t>
      </w:r>
      <w:r w:rsidRPr="00892242">
        <w:rPr>
          <w:rFonts w:ascii="Bookman Old Style" w:hAnsi="Bookman Old Style" w:cs="Times New Roman"/>
          <w:sz w:val="20"/>
          <w:szCs w:val="20"/>
        </w:rPr>
        <w:t xml:space="preserve"> fonction</w:t>
      </w:r>
      <w:r w:rsidR="00765957">
        <w:rPr>
          <w:rFonts w:ascii="Bookman Old Style" w:hAnsi="Bookman Old Style" w:cs="Times New Roman"/>
          <w:sz w:val="20"/>
          <w:szCs w:val="20"/>
        </w:rPr>
        <w:t>s</w:t>
      </w:r>
      <w:r w:rsidRPr="00892242">
        <w:rPr>
          <w:rFonts w:ascii="Bookman Old Style" w:hAnsi="Bookman Old Style" w:cs="Times New Roman"/>
          <w:sz w:val="20"/>
          <w:szCs w:val="20"/>
        </w:rPr>
        <w:t>, le délai de désendettement « hors fonctions transférées » est le même que celui toutes fon</w:t>
      </w:r>
      <w:r w:rsidRPr="00892242">
        <w:rPr>
          <w:rFonts w:ascii="Bookman Old Style" w:hAnsi="Bookman Old Style" w:cs="Times New Roman"/>
          <w:sz w:val="20"/>
          <w:szCs w:val="20"/>
        </w:rPr>
        <w:t>c</w:t>
      </w:r>
      <w:r w:rsidRPr="00892242">
        <w:rPr>
          <w:rFonts w:ascii="Bookman Old Style" w:hAnsi="Bookman Old Style" w:cs="Times New Roman"/>
          <w:sz w:val="20"/>
          <w:szCs w:val="20"/>
        </w:rPr>
        <w:t>tions confondues.</w:t>
      </w:r>
    </w:p>
    <w:p w:rsidR="006C777E" w:rsidRDefault="006C777E" w:rsidP="005D7809">
      <w:pPr>
        <w:pBdr>
          <w:top w:val="single" w:sz="4" w:space="1" w:color="auto"/>
          <w:left w:val="single" w:sz="4" w:space="1" w:color="auto"/>
          <w:bottom w:val="single" w:sz="4" w:space="1" w:color="auto"/>
          <w:right w:val="single" w:sz="4" w:space="1" w:color="auto"/>
        </w:pBdr>
        <w:spacing w:after="0" w:line="276" w:lineRule="auto"/>
        <w:jc w:val="both"/>
        <w:rPr>
          <w:rFonts w:ascii="Bookman Old Style" w:hAnsi="Bookman Old Style" w:cs="Times New Roman"/>
          <w:sz w:val="20"/>
          <w:szCs w:val="20"/>
        </w:rPr>
        <w:sectPr w:rsidR="006C777E" w:rsidSect="00DA189B">
          <w:type w:val="continuous"/>
          <w:pgSz w:w="11906" w:h="16838"/>
          <w:pgMar w:top="992" w:right="851" w:bottom="992" w:left="851" w:header="709" w:footer="709" w:gutter="0"/>
          <w:cols w:space="708"/>
          <w:docGrid w:linePitch="360"/>
        </w:sectPr>
      </w:pPr>
    </w:p>
    <w:p w:rsidR="008205C9" w:rsidRPr="00AD0AE2" w:rsidRDefault="00AD0AE2" w:rsidP="00AD0AE2">
      <w:pPr>
        <w:spacing w:after="0" w:line="276" w:lineRule="auto"/>
        <w:jc w:val="center"/>
        <w:rPr>
          <w:rFonts w:ascii="Bookman Old Style" w:hAnsi="Bookman Old Style"/>
          <w:b/>
          <w:sz w:val="20"/>
          <w:szCs w:val="20"/>
        </w:rPr>
      </w:pPr>
      <w:r w:rsidRPr="00AD0AE2">
        <w:rPr>
          <w:rFonts w:ascii="Bookman Old Style" w:hAnsi="Bookman Old Style"/>
          <w:b/>
          <w:sz w:val="20"/>
          <w:szCs w:val="20"/>
        </w:rPr>
        <w:lastRenderedPageBreak/>
        <w:t>Annexes : Données statistiques</w:t>
      </w:r>
    </w:p>
    <w:p w:rsidR="00AD0AE2" w:rsidRDefault="00AD0AE2" w:rsidP="006C777E">
      <w:pPr>
        <w:spacing w:after="0" w:line="276" w:lineRule="auto"/>
        <w:jc w:val="both"/>
        <w:rPr>
          <w:rFonts w:ascii="Bookman Old Style" w:hAnsi="Bookman Old Style"/>
          <w:sz w:val="20"/>
          <w:szCs w:val="20"/>
        </w:rPr>
      </w:pPr>
    </w:p>
    <w:p w:rsidR="00AD0AE2" w:rsidRDefault="00AD0AE2" w:rsidP="00AD0AE2">
      <w:pPr>
        <w:spacing w:after="0" w:line="276" w:lineRule="auto"/>
        <w:rPr>
          <w:rFonts w:ascii="Bookman Old Style" w:hAnsi="Bookman Old Style"/>
          <w:sz w:val="20"/>
          <w:szCs w:val="20"/>
        </w:rPr>
      </w:pPr>
      <w:r w:rsidRPr="00AD0AE2">
        <w:rPr>
          <w:rFonts w:ascii="Bookman Old Style" w:hAnsi="Bookman Old Style"/>
          <w:sz w:val="20"/>
          <w:szCs w:val="20"/>
          <w:u w:val="single"/>
        </w:rPr>
        <w:t>Dépenses de fonctionnement</w:t>
      </w:r>
      <w:r>
        <w:rPr>
          <w:rFonts w:ascii="Bookman Old Style" w:hAnsi="Bookman Old Style"/>
          <w:sz w:val="20"/>
          <w:szCs w:val="20"/>
        </w:rPr>
        <w:t xml:space="preserve"> des régions* par groupe de régions</w:t>
      </w:r>
    </w:p>
    <w:p w:rsidR="00AD0AE2" w:rsidRDefault="00AD0AE2" w:rsidP="00AD0AE2">
      <w:pPr>
        <w:spacing w:after="0" w:line="276" w:lineRule="auto"/>
        <w:rPr>
          <w:rFonts w:ascii="Bookman Old Style" w:hAnsi="Bookman Old Style"/>
          <w:sz w:val="20"/>
          <w:szCs w:val="20"/>
        </w:rPr>
      </w:pPr>
    </w:p>
    <w:p w:rsidR="00AD0AE2" w:rsidRDefault="00AD0AE2" w:rsidP="006C777E">
      <w:pPr>
        <w:spacing w:after="0" w:line="276" w:lineRule="auto"/>
        <w:jc w:val="both"/>
        <w:rPr>
          <w:rFonts w:ascii="Bookman Old Style" w:hAnsi="Bookman Old Style"/>
          <w:sz w:val="20"/>
          <w:szCs w:val="20"/>
        </w:rPr>
      </w:pPr>
      <w:r w:rsidRPr="00AD0AE2">
        <w:rPr>
          <w:noProof/>
          <w:szCs w:val="20"/>
          <w:lang w:eastAsia="fr-FR"/>
        </w:rPr>
        <w:drawing>
          <wp:inline distT="0" distB="0" distL="0" distR="0">
            <wp:extent cx="3693414" cy="2266623"/>
            <wp:effectExtent l="19050" t="0" r="2286"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695630" cy="2267983"/>
                    </a:xfrm>
                    <a:prstGeom prst="rect">
                      <a:avLst/>
                    </a:prstGeom>
                    <a:noFill/>
                    <a:ln w="9525">
                      <a:noFill/>
                      <a:miter lim="800000"/>
                      <a:headEnd/>
                      <a:tailEnd/>
                    </a:ln>
                  </pic:spPr>
                </pic:pic>
              </a:graphicData>
            </a:graphic>
          </wp:inline>
        </w:drawing>
      </w:r>
    </w:p>
    <w:p w:rsidR="00AD0AE2" w:rsidRPr="00AD0AE2" w:rsidRDefault="00AD0AE2" w:rsidP="006C777E">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AD0AE2" w:rsidRDefault="00AD0AE2" w:rsidP="006C777E">
      <w:pPr>
        <w:spacing w:after="0" w:line="276" w:lineRule="auto"/>
        <w:jc w:val="both"/>
        <w:rPr>
          <w:rFonts w:ascii="Bookman Old Style" w:hAnsi="Bookman Old Style"/>
          <w:sz w:val="20"/>
          <w:szCs w:val="20"/>
        </w:rPr>
      </w:pPr>
    </w:p>
    <w:p w:rsidR="007E26B5" w:rsidRDefault="007E26B5" w:rsidP="007E26B5">
      <w:pPr>
        <w:spacing w:after="0" w:line="276" w:lineRule="auto"/>
        <w:rPr>
          <w:rFonts w:ascii="Bookman Old Style" w:hAnsi="Bookman Old Style"/>
          <w:sz w:val="20"/>
          <w:szCs w:val="20"/>
        </w:rPr>
      </w:pPr>
      <w:r>
        <w:rPr>
          <w:rFonts w:ascii="Bookman Old Style" w:hAnsi="Bookman Old Style"/>
          <w:sz w:val="20"/>
          <w:szCs w:val="20"/>
          <w:u w:val="single"/>
        </w:rPr>
        <w:t>Achats et charges externes</w:t>
      </w:r>
      <w:r>
        <w:rPr>
          <w:rFonts w:ascii="Bookman Old Style" w:hAnsi="Bookman Old Style"/>
          <w:sz w:val="20"/>
          <w:szCs w:val="20"/>
        </w:rPr>
        <w:t xml:space="preserve"> des régions* par groupe de régions</w:t>
      </w:r>
    </w:p>
    <w:p w:rsidR="007E26B5" w:rsidRDefault="007E26B5" w:rsidP="007E26B5">
      <w:pPr>
        <w:spacing w:after="0" w:line="276" w:lineRule="auto"/>
        <w:rPr>
          <w:rFonts w:ascii="Bookman Old Style" w:hAnsi="Bookman Old Style"/>
          <w:sz w:val="20"/>
          <w:szCs w:val="20"/>
        </w:rPr>
      </w:pPr>
    </w:p>
    <w:p w:rsidR="007E26B5" w:rsidRDefault="007E26B5" w:rsidP="007E26B5">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3772166" cy="2313432"/>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774429" cy="2314820"/>
                    </a:xfrm>
                    <a:prstGeom prst="rect">
                      <a:avLst/>
                    </a:prstGeom>
                    <a:noFill/>
                    <a:ln w="9525">
                      <a:noFill/>
                      <a:miter lim="800000"/>
                      <a:headEnd/>
                      <a:tailEnd/>
                    </a:ln>
                  </pic:spPr>
                </pic:pic>
              </a:graphicData>
            </a:graphic>
          </wp:inline>
        </w:drawing>
      </w:r>
    </w:p>
    <w:p w:rsidR="007E26B5" w:rsidRPr="00AD0AE2" w:rsidRDefault="007E26B5" w:rsidP="007E26B5">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7E26B5" w:rsidRDefault="007E26B5" w:rsidP="007E26B5">
      <w:pPr>
        <w:spacing w:after="0" w:line="276" w:lineRule="auto"/>
        <w:jc w:val="both"/>
        <w:rPr>
          <w:rFonts w:ascii="Bookman Old Style" w:hAnsi="Bookman Old Style"/>
          <w:sz w:val="20"/>
          <w:szCs w:val="20"/>
        </w:rPr>
      </w:pPr>
    </w:p>
    <w:p w:rsidR="007E26B5" w:rsidRDefault="007E26B5" w:rsidP="007E26B5">
      <w:pPr>
        <w:spacing w:after="0" w:line="276" w:lineRule="auto"/>
        <w:rPr>
          <w:rFonts w:ascii="Bookman Old Style" w:hAnsi="Bookman Old Style"/>
          <w:sz w:val="20"/>
          <w:szCs w:val="20"/>
        </w:rPr>
      </w:pPr>
      <w:r w:rsidRPr="007E26B5">
        <w:rPr>
          <w:rFonts w:ascii="Bookman Old Style" w:hAnsi="Bookman Old Style"/>
          <w:sz w:val="20"/>
          <w:szCs w:val="20"/>
          <w:u w:val="single"/>
        </w:rPr>
        <w:t>Dépenses d’intervention</w:t>
      </w:r>
      <w:r>
        <w:rPr>
          <w:rFonts w:ascii="Bookman Old Style" w:hAnsi="Bookman Old Style"/>
          <w:sz w:val="20"/>
          <w:szCs w:val="20"/>
        </w:rPr>
        <w:t xml:space="preserve"> des régions* par groupe de régions</w:t>
      </w:r>
    </w:p>
    <w:p w:rsidR="007E26B5" w:rsidRDefault="007E26B5" w:rsidP="007E26B5">
      <w:pPr>
        <w:spacing w:after="0" w:line="276" w:lineRule="auto"/>
        <w:rPr>
          <w:rFonts w:ascii="Bookman Old Style" w:hAnsi="Bookman Old Style"/>
          <w:sz w:val="20"/>
          <w:szCs w:val="20"/>
        </w:rPr>
      </w:pPr>
    </w:p>
    <w:p w:rsidR="007E26B5" w:rsidRDefault="007E26B5" w:rsidP="007E26B5">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3775710" cy="2314661"/>
            <wp:effectExtent l="19050" t="0" r="0" b="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779480" cy="2316972"/>
                    </a:xfrm>
                    <a:prstGeom prst="rect">
                      <a:avLst/>
                    </a:prstGeom>
                    <a:noFill/>
                    <a:ln w="9525">
                      <a:noFill/>
                      <a:miter lim="800000"/>
                      <a:headEnd/>
                      <a:tailEnd/>
                    </a:ln>
                  </pic:spPr>
                </pic:pic>
              </a:graphicData>
            </a:graphic>
          </wp:inline>
        </w:drawing>
      </w:r>
    </w:p>
    <w:p w:rsidR="007E26B5" w:rsidRPr="00AD0AE2" w:rsidRDefault="007E26B5" w:rsidP="007E26B5">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7E26B5" w:rsidRDefault="007E26B5" w:rsidP="007E26B5">
      <w:pPr>
        <w:spacing w:after="0" w:line="276" w:lineRule="auto"/>
        <w:rPr>
          <w:rFonts w:ascii="Bookman Old Style" w:hAnsi="Bookman Old Style"/>
          <w:sz w:val="20"/>
          <w:szCs w:val="20"/>
        </w:rPr>
      </w:pPr>
      <w:r>
        <w:rPr>
          <w:rFonts w:ascii="Bookman Old Style" w:hAnsi="Bookman Old Style"/>
          <w:sz w:val="20"/>
          <w:szCs w:val="20"/>
          <w:u w:val="single"/>
        </w:rPr>
        <w:lastRenderedPageBreak/>
        <w:t>Frais de personnel</w:t>
      </w:r>
      <w:r>
        <w:rPr>
          <w:rFonts w:ascii="Bookman Old Style" w:hAnsi="Bookman Old Style"/>
          <w:sz w:val="20"/>
          <w:szCs w:val="20"/>
        </w:rPr>
        <w:t xml:space="preserve"> des régions* par groupe de régions</w:t>
      </w:r>
    </w:p>
    <w:p w:rsidR="007E26B5" w:rsidRDefault="007E26B5" w:rsidP="007E26B5">
      <w:pPr>
        <w:spacing w:after="0" w:line="276" w:lineRule="auto"/>
        <w:rPr>
          <w:rFonts w:ascii="Bookman Old Style" w:hAnsi="Bookman Old Style"/>
          <w:sz w:val="20"/>
          <w:szCs w:val="20"/>
        </w:rPr>
      </w:pPr>
    </w:p>
    <w:p w:rsidR="007E26B5" w:rsidRDefault="007E26B5" w:rsidP="007E26B5">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3969855" cy="2434673"/>
            <wp:effectExtent l="1905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973179" cy="2436712"/>
                    </a:xfrm>
                    <a:prstGeom prst="rect">
                      <a:avLst/>
                    </a:prstGeom>
                    <a:noFill/>
                    <a:ln w="9525">
                      <a:noFill/>
                      <a:miter lim="800000"/>
                      <a:headEnd/>
                      <a:tailEnd/>
                    </a:ln>
                  </pic:spPr>
                </pic:pic>
              </a:graphicData>
            </a:graphic>
          </wp:inline>
        </w:drawing>
      </w:r>
    </w:p>
    <w:p w:rsidR="007E26B5" w:rsidRPr="00AD0AE2" w:rsidRDefault="007E26B5" w:rsidP="007E26B5">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AD0AE2" w:rsidRDefault="00AD0AE2" w:rsidP="006C777E">
      <w:pPr>
        <w:spacing w:after="0" w:line="276" w:lineRule="auto"/>
        <w:jc w:val="both"/>
        <w:rPr>
          <w:rFonts w:ascii="Bookman Old Style" w:hAnsi="Bookman Old Style"/>
          <w:sz w:val="20"/>
          <w:szCs w:val="20"/>
        </w:rPr>
      </w:pPr>
    </w:p>
    <w:p w:rsidR="007E26B5" w:rsidRDefault="007E26B5" w:rsidP="007E26B5">
      <w:pPr>
        <w:spacing w:after="0" w:line="276" w:lineRule="auto"/>
        <w:rPr>
          <w:rFonts w:ascii="Bookman Old Style" w:hAnsi="Bookman Old Style"/>
          <w:sz w:val="20"/>
          <w:szCs w:val="20"/>
        </w:rPr>
      </w:pPr>
      <w:r>
        <w:rPr>
          <w:rFonts w:ascii="Bookman Old Style" w:hAnsi="Bookman Old Style"/>
          <w:sz w:val="20"/>
          <w:szCs w:val="20"/>
          <w:u w:val="single"/>
        </w:rPr>
        <w:t>Charges financières</w:t>
      </w:r>
      <w:r>
        <w:rPr>
          <w:rFonts w:ascii="Bookman Old Style" w:hAnsi="Bookman Old Style"/>
          <w:sz w:val="20"/>
          <w:szCs w:val="20"/>
        </w:rPr>
        <w:t xml:space="preserve"> des régions* par groupe de régions</w:t>
      </w:r>
    </w:p>
    <w:p w:rsidR="007E26B5" w:rsidRDefault="007E26B5" w:rsidP="007E26B5">
      <w:pPr>
        <w:spacing w:after="0" w:line="276" w:lineRule="auto"/>
        <w:rPr>
          <w:rFonts w:ascii="Bookman Old Style" w:hAnsi="Bookman Old Style"/>
          <w:sz w:val="20"/>
          <w:szCs w:val="20"/>
        </w:rPr>
      </w:pPr>
    </w:p>
    <w:p w:rsidR="007E26B5" w:rsidRDefault="007E26B5" w:rsidP="007E26B5">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3969855" cy="2432608"/>
            <wp:effectExtent l="19050" t="0" r="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973866" cy="2435066"/>
                    </a:xfrm>
                    <a:prstGeom prst="rect">
                      <a:avLst/>
                    </a:prstGeom>
                    <a:noFill/>
                    <a:ln w="9525">
                      <a:noFill/>
                      <a:miter lim="800000"/>
                      <a:headEnd/>
                      <a:tailEnd/>
                    </a:ln>
                  </pic:spPr>
                </pic:pic>
              </a:graphicData>
            </a:graphic>
          </wp:inline>
        </w:drawing>
      </w:r>
    </w:p>
    <w:p w:rsidR="007E26B5" w:rsidRPr="00AD0AE2" w:rsidRDefault="007E26B5" w:rsidP="007E26B5">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7E26B5" w:rsidRDefault="007E26B5" w:rsidP="007E26B5">
      <w:pPr>
        <w:spacing w:after="0" w:line="276" w:lineRule="auto"/>
        <w:jc w:val="both"/>
        <w:rPr>
          <w:rFonts w:ascii="Bookman Old Style" w:hAnsi="Bookman Old Style"/>
          <w:sz w:val="20"/>
          <w:szCs w:val="20"/>
        </w:rPr>
      </w:pPr>
    </w:p>
    <w:p w:rsidR="007E26B5" w:rsidRDefault="007E26B5" w:rsidP="007E26B5">
      <w:pPr>
        <w:spacing w:after="0" w:line="276" w:lineRule="auto"/>
        <w:rPr>
          <w:rFonts w:ascii="Bookman Old Style" w:hAnsi="Bookman Old Style"/>
          <w:sz w:val="20"/>
          <w:szCs w:val="20"/>
        </w:rPr>
      </w:pPr>
      <w:r>
        <w:rPr>
          <w:rFonts w:ascii="Bookman Old Style" w:hAnsi="Bookman Old Style"/>
          <w:sz w:val="20"/>
          <w:szCs w:val="20"/>
          <w:u w:val="single"/>
        </w:rPr>
        <w:t>Dépenses d’investissement</w:t>
      </w:r>
      <w:r>
        <w:rPr>
          <w:rFonts w:ascii="Bookman Old Style" w:hAnsi="Bookman Old Style"/>
          <w:sz w:val="20"/>
          <w:szCs w:val="20"/>
        </w:rPr>
        <w:t xml:space="preserve"> des régions* par groupe de régions</w:t>
      </w:r>
    </w:p>
    <w:p w:rsidR="007E26B5" w:rsidRDefault="007E26B5" w:rsidP="007E26B5">
      <w:pPr>
        <w:spacing w:after="0" w:line="276" w:lineRule="auto"/>
        <w:rPr>
          <w:rFonts w:ascii="Bookman Old Style" w:hAnsi="Bookman Old Style"/>
          <w:sz w:val="20"/>
          <w:szCs w:val="20"/>
        </w:rPr>
      </w:pPr>
    </w:p>
    <w:p w:rsidR="007E26B5" w:rsidRDefault="007E26B5" w:rsidP="007E26B5">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3969855" cy="2461211"/>
            <wp:effectExtent l="19050" t="0" r="0" b="0"/>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969572" cy="2461036"/>
                    </a:xfrm>
                    <a:prstGeom prst="rect">
                      <a:avLst/>
                    </a:prstGeom>
                    <a:noFill/>
                    <a:ln w="9525">
                      <a:noFill/>
                      <a:miter lim="800000"/>
                      <a:headEnd/>
                      <a:tailEnd/>
                    </a:ln>
                  </pic:spPr>
                </pic:pic>
              </a:graphicData>
            </a:graphic>
          </wp:inline>
        </w:drawing>
      </w:r>
    </w:p>
    <w:p w:rsidR="007E26B5" w:rsidRPr="00AD0AE2" w:rsidRDefault="007E26B5" w:rsidP="007E26B5">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304608" w:rsidRDefault="00304608" w:rsidP="007E26B5">
      <w:pPr>
        <w:spacing w:after="0" w:line="276" w:lineRule="auto"/>
        <w:rPr>
          <w:rFonts w:ascii="Bookman Old Style" w:hAnsi="Bookman Old Style"/>
          <w:sz w:val="20"/>
          <w:szCs w:val="20"/>
        </w:rPr>
      </w:pPr>
      <w:r w:rsidRPr="00304608">
        <w:rPr>
          <w:rFonts w:ascii="Bookman Old Style" w:hAnsi="Bookman Old Style"/>
          <w:sz w:val="20"/>
          <w:szCs w:val="20"/>
        </w:rPr>
        <w:lastRenderedPageBreak/>
        <w:t>Les flux et encours de dette ne sont pas ventilés par fonction</w:t>
      </w:r>
      <w:r>
        <w:rPr>
          <w:rFonts w:ascii="Bookman Old Style" w:hAnsi="Bookman Old Style"/>
          <w:sz w:val="20"/>
          <w:szCs w:val="20"/>
        </w:rPr>
        <w:t>.</w:t>
      </w:r>
    </w:p>
    <w:p w:rsidR="00304608" w:rsidRPr="00304608" w:rsidRDefault="00304608" w:rsidP="007E26B5">
      <w:pPr>
        <w:spacing w:after="0" w:line="276" w:lineRule="auto"/>
        <w:rPr>
          <w:rFonts w:ascii="Bookman Old Style" w:hAnsi="Bookman Old Style"/>
          <w:sz w:val="20"/>
          <w:szCs w:val="20"/>
        </w:rPr>
      </w:pPr>
    </w:p>
    <w:p w:rsidR="007E26B5" w:rsidRDefault="007E26B5" w:rsidP="007E26B5">
      <w:pPr>
        <w:spacing w:after="0" w:line="276" w:lineRule="auto"/>
        <w:rPr>
          <w:rFonts w:ascii="Bookman Old Style" w:hAnsi="Bookman Old Style"/>
          <w:sz w:val="20"/>
          <w:szCs w:val="20"/>
        </w:rPr>
      </w:pPr>
      <w:r>
        <w:rPr>
          <w:rFonts w:ascii="Bookman Old Style" w:hAnsi="Bookman Old Style"/>
          <w:sz w:val="20"/>
          <w:szCs w:val="20"/>
          <w:u w:val="single"/>
        </w:rPr>
        <w:t>Emprunts</w:t>
      </w:r>
      <w:r>
        <w:rPr>
          <w:rFonts w:ascii="Bookman Old Style" w:hAnsi="Bookman Old Style"/>
          <w:sz w:val="20"/>
          <w:szCs w:val="20"/>
        </w:rPr>
        <w:t xml:space="preserve"> des régions* par groupe de régions</w:t>
      </w:r>
    </w:p>
    <w:p w:rsidR="007E26B5" w:rsidRDefault="007E26B5" w:rsidP="007E26B5">
      <w:pPr>
        <w:spacing w:after="0" w:line="276" w:lineRule="auto"/>
        <w:jc w:val="both"/>
        <w:rPr>
          <w:rFonts w:ascii="Bookman Old Style" w:hAnsi="Bookman Old Style"/>
          <w:sz w:val="20"/>
          <w:szCs w:val="20"/>
        </w:rPr>
      </w:pPr>
    </w:p>
    <w:p w:rsidR="007E26B5" w:rsidRDefault="007E26B5" w:rsidP="006C777E">
      <w:pPr>
        <w:spacing w:after="0" w:line="276" w:lineRule="auto"/>
        <w:jc w:val="both"/>
        <w:rPr>
          <w:rFonts w:ascii="Bookman Old Style" w:hAnsi="Bookman Old Style"/>
          <w:sz w:val="20"/>
          <w:szCs w:val="20"/>
        </w:rPr>
      </w:pPr>
      <w:r w:rsidRPr="007E26B5">
        <w:rPr>
          <w:noProof/>
          <w:szCs w:val="20"/>
          <w:lang w:eastAsia="fr-FR"/>
        </w:rPr>
        <w:drawing>
          <wp:inline distT="0" distB="0" distL="0" distR="0">
            <wp:extent cx="5407025" cy="1471295"/>
            <wp:effectExtent l="19050" t="0" r="3175" b="0"/>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407025" cy="1471295"/>
                    </a:xfrm>
                    <a:prstGeom prst="rect">
                      <a:avLst/>
                    </a:prstGeom>
                    <a:noFill/>
                    <a:ln w="9525">
                      <a:noFill/>
                      <a:miter lim="800000"/>
                      <a:headEnd/>
                      <a:tailEnd/>
                    </a:ln>
                  </pic:spPr>
                </pic:pic>
              </a:graphicData>
            </a:graphic>
          </wp:inline>
        </w:drawing>
      </w:r>
    </w:p>
    <w:p w:rsidR="00304608" w:rsidRPr="00AD0AE2" w:rsidRDefault="00304608" w:rsidP="00304608">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304608" w:rsidRDefault="00304608" w:rsidP="006C777E">
      <w:pPr>
        <w:spacing w:after="0" w:line="276" w:lineRule="auto"/>
        <w:jc w:val="both"/>
        <w:rPr>
          <w:rFonts w:ascii="Bookman Old Style" w:hAnsi="Bookman Old Style"/>
          <w:sz w:val="20"/>
          <w:szCs w:val="20"/>
        </w:rPr>
      </w:pPr>
    </w:p>
    <w:p w:rsidR="00304608" w:rsidRDefault="00304608" w:rsidP="00304608">
      <w:pPr>
        <w:spacing w:after="0" w:line="276" w:lineRule="auto"/>
        <w:rPr>
          <w:rFonts w:ascii="Bookman Old Style" w:hAnsi="Bookman Old Style"/>
          <w:sz w:val="20"/>
          <w:szCs w:val="20"/>
        </w:rPr>
      </w:pPr>
      <w:r>
        <w:rPr>
          <w:rFonts w:ascii="Bookman Old Style" w:hAnsi="Bookman Old Style"/>
          <w:sz w:val="20"/>
          <w:szCs w:val="20"/>
          <w:u w:val="single"/>
        </w:rPr>
        <w:t>Remboursements de dette</w:t>
      </w:r>
      <w:r>
        <w:rPr>
          <w:rFonts w:ascii="Bookman Old Style" w:hAnsi="Bookman Old Style"/>
          <w:sz w:val="20"/>
          <w:szCs w:val="20"/>
        </w:rPr>
        <w:t xml:space="preserve"> des régions* par groupe de régions</w:t>
      </w:r>
    </w:p>
    <w:p w:rsidR="00304608" w:rsidRDefault="00304608" w:rsidP="00304608">
      <w:pPr>
        <w:spacing w:after="0" w:line="276" w:lineRule="auto"/>
        <w:jc w:val="both"/>
        <w:rPr>
          <w:rFonts w:ascii="Bookman Old Style" w:hAnsi="Bookman Old Style"/>
          <w:sz w:val="20"/>
          <w:szCs w:val="20"/>
        </w:rPr>
      </w:pPr>
    </w:p>
    <w:p w:rsidR="00304608" w:rsidRDefault="00304608" w:rsidP="00304608">
      <w:pPr>
        <w:spacing w:after="0" w:line="276" w:lineRule="auto"/>
        <w:jc w:val="both"/>
        <w:rPr>
          <w:rFonts w:ascii="Bookman Old Style" w:hAnsi="Bookman Old Style"/>
          <w:sz w:val="20"/>
          <w:szCs w:val="20"/>
        </w:rPr>
      </w:pPr>
      <w:r w:rsidRPr="00304608">
        <w:rPr>
          <w:noProof/>
          <w:szCs w:val="20"/>
          <w:lang w:eastAsia="fr-FR"/>
        </w:rPr>
        <w:drawing>
          <wp:inline distT="0" distB="0" distL="0" distR="0">
            <wp:extent cx="5407025" cy="1471295"/>
            <wp:effectExtent l="19050" t="0" r="3175" b="0"/>
            <wp:docPr id="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5407025" cy="1471295"/>
                    </a:xfrm>
                    <a:prstGeom prst="rect">
                      <a:avLst/>
                    </a:prstGeom>
                    <a:noFill/>
                    <a:ln w="9525">
                      <a:noFill/>
                      <a:miter lim="800000"/>
                      <a:headEnd/>
                      <a:tailEnd/>
                    </a:ln>
                  </pic:spPr>
                </pic:pic>
              </a:graphicData>
            </a:graphic>
          </wp:inline>
        </w:drawing>
      </w:r>
    </w:p>
    <w:p w:rsidR="00304608" w:rsidRPr="00AD0AE2" w:rsidRDefault="00304608" w:rsidP="00304608">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304608" w:rsidRDefault="00304608" w:rsidP="006C777E">
      <w:pPr>
        <w:spacing w:after="0" w:line="276" w:lineRule="auto"/>
        <w:jc w:val="both"/>
        <w:rPr>
          <w:rFonts w:ascii="Bookman Old Style" w:hAnsi="Bookman Old Style"/>
          <w:sz w:val="20"/>
          <w:szCs w:val="20"/>
        </w:rPr>
      </w:pPr>
    </w:p>
    <w:p w:rsidR="00304608" w:rsidRDefault="00304608" w:rsidP="00304608">
      <w:pPr>
        <w:spacing w:after="0" w:line="276" w:lineRule="auto"/>
        <w:rPr>
          <w:rFonts w:ascii="Bookman Old Style" w:hAnsi="Bookman Old Style"/>
          <w:sz w:val="20"/>
          <w:szCs w:val="20"/>
        </w:rPr>
      </w:pPr>
      <w:r>
        <w:rPr>
          <w:rFonts w:ascii="Bookman Old Style" w:hAnsi="Bookman Old Style"/>
          <w:sz w:val="20"/>
          <w:szCs w:val="20"/>
          <w:u w:val="single"/>
        </w:rPr>
        <w:t>Encours de dette au 31/12</w:t>
      </w:r>
      <w:r>
        <w:rPr>
          <w:rFonts w:ascii="Bookman Old Style" w:hAnsi="Bookman Old Style"/>
          <w:sz w:val="20"/>
          <w:szCs w:val="20"/>
        </w:rPr>
        <w:t xml:space="preserve"> des régions* par groupe de régions</w:t>
      </w:r>
    </w:p>
    <w:p w:rsidR="00304608" w:rsidRDefault="00304608" w:rsidP="00304608">
      <w:pPr>
        <w:spacing w:after="0" w:line="276" w:lineRule="auto"/>
        <w:rPr>
          <w:rFonts w:ascii="Bookman Old Style" w:hAnsi="Bookman Old Style"/>
          <w:sz w:val="20"/>
          <w:szCs w:val="20"/>
        </w:rPr>
      </w:pPr>
    </w:p>
    <w:p w:rsidR="00304608" w:rsidRDefault="00304608" w:rsidP="00304608">
      <w:pPr>
        <w:spacing w:after="0" w:line="276" w:lineRule="auto"/>
        <w:jc w:val="both"/>
        <w:rPr>
          <w:rFonts w:ascii="Bookman Old Style" w:hAnsi="Bookman Old Style"/>
          <w:sz w:val="20"/>
          <w:szCs w:val="20"/>
        </w:rPr>
      </w:pPr>
      <w:r w:rsidRPr="00304608">
        <w:rPr>
          <w:noProof/>
          <w:szCs w:val="20"/>
          <w:lang w:eastAsia="fr-FR"/>
        </w:rPr>
        <w:drawing>
          <wp:inline distT="0" distB="0" distL="0" distR="0">
            <wp:extent cx="5407025" cy="1471295"/>
            <wp:effectExtent l="19050" t="0" r="3175"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407025" cy="1471295"/>
                    </a:xfrm>
                    <a:prstGeom prst="rect">
                      <a:avLst/>
                    </a:prstGeom>
                    <a:noFill/>
                    <a:ln w="9525">
                      <a:noFill/>
                      <a:miter lim="800000"/>
                      <a:headEnd/>
                      <a:tailEnd/>
                    </a:ln>
                  </pic:spPr>
                </pic:pic>
              </a:graphicData>
            </a:graphic>
          </wp:inline>
        </w:drawing>
      </w:r>
    </w:p>
    <w:p w:rsidR="00304608" w:rsidRPr="00AD0AE2" w:rsidRDefault="00304608" w:rsidP="00304608">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304608" w:rsidRDefault="00304608" w:rsidP="006C777E">
      <w:pPr>
        <w:spacing w:after="0" w:line="276" w:lineRule="auto"/>
        <w:jc w:val="both"/>
        <w:rPr>
          <w:rFonts w:ascii="Bookman Old Style" w:hAnsi="Bookman Old Style"/>
          <w:sz w:val="20"/>
          <w:szCs w:val="20"/>
        </w:rPr>
      </w:pPr>
    </w:p>
    <w:p w:rsidR="00304608" w:rsidRDefault="00304608" w:rsidP="00304608">
      <w:pPr>
        <w:spacing w:after="0" w:line="276" w:lineRule="auto"/>
        <w:rPr>
          <w:rFonts w:ascii="Bookman Old Style" w:hAnsi="Bookman Old Style"/>
          <w:sz w:val="20"/>
          <w:szCs w:val="20"/>
        </w:rPr>
      </w:pPr>
      <w:r>
        <w:rPr>
          <w:rFonts w:ascii="Bookman Old Style" w:hAnsi="Bookman Old Style"/>
          <w:sz w:val="20"/>
          <w:szCs w:val="20"/>
          <w:u w:val="single"/>
        </w:rPr>
        <w:t>Délai de désendettement</w:t>
      </w:r>
      <w:r>
        <w:rPr>
          <w:rFonts w:ascii="Bookman Old Style" w:hAnsi="Bookman Old Style"/>
          <w:sz w:val="20"/>
          <w:szCs w:val="20"/>
        </w:rPr>
        <w:t xml:space="preserve"> des régions* par groupe de régions</w:t>
      </w:r>
    </w:p>
    <w:p w:rsidR="00304608" w:rsidRDefault="00304608" w:rsidP="00304608">
      <w:pPr>
        <w:spacing w:after="0" w:line="276" w:lineRule="auto"/>
        <w:rPr>
          <w:rFonts w:ascii="Bookman Old Style" w:hAnsi="Bookman Old Style"/>
          <w:sz w:val="20"/>
          <w:szCs w:val="20"/>
        </w:rPr>
      </w:pPr>
    </w:p>
    <w:p w:rsidR="00304608" w:rsidRDefault="00304608" w:rsidP="00304608">
      <w:pPr>
        <w:spacing w:after="0" w:line="276" w:lineRule="auto"/>
        <w:jc w:val="both"/>
        <w:rPr>
          <w:rFonts w:ascii="Bookman Old Style" w:hAnsi="Bookman Old Style"/>
          <w:sz w:val="20"/>
          <w:szCs w:val="20"/>
        </w:rPr>
      </w:pPr>
      <w:r w:rsidRPr="00304608">
        <w:rPr>
          <w:noProof/>
          <w:szCs w:val="20"/>
          <w:lang w:eastAsia="fr-FR"/>
        </w:rPr>
        <w:drawing>
          <wp:inline distT="0" distB="0" distL="0" distR="0">
            <wp:extent cx="5407025" cy="920750"/>
            <wp:effectExtent l="19050" t="0" r="3175"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407025" cy="920750"/>
                    </a:xfrm>
                    <a:prstGeom prst="rect">
                      <a:avLst/>
                    </a:prstGeom>
                    <a:noFill/>
                    <a:ln w="9525">
                      <a:noFill/>
                      <a:miter lim="800000"/>
                      <a:headEnd/>
                      <a:tailEnd/>
                    </a:ln>
                  </pic:spPr>
                </pic:pic>
              </a:graphicData>
            </a:graphic>
          </wp:inline>
        </w:drawing>
      </w:r>
    </w:p>
    <w:p w:rsidR="00304608" w:rsidRDefault="00304608" w:rsidP="00304608">
      <w:pPr>
        <w:spacing w:after="0" w:line="276" w:lineRule="auto"/>
        <w:jc w:val="both"/>
        <w:rPr>
          <w:rFonts w:ascii="Bookman Old Style" w:hAnsi="Bookman Old Style"/>
          <w:sz w:val="18"/>
          <w:szCs w:val="20"/>
        </w:rPr>
      </w:pPr>
      <w:r w:rsidRPr="00AD0AE2">
        <w:rPr>
          <w:rFonts w:ascii="Bookman Old Style" w:hAnsi="Bookman Old Style"/>
          <w:sz w:val="18"/>
          <w:szCs w:val="20"/>
        </w:rPr>
        <w:t>* Hors CTU de Guyane et de Martinique</w:t>
      </w:r>
    </w:p>
    <w:p w:rsidR="00304608" w:rsidRDefault="00304608" w:rsidP="00304608">
      <w:pPr>
        <w:spacing w:after="0" w:line="276" w:lineRule="auto"/>
        <w:jc w:val="both"/>
        <w:rPr>
          <w:rFonts w:ascii="Bookman Old Style" w:hAnsi="Bookman Old Style"/>
          <w:sz w:val="18"/>
          <w:szCs w:val="20"/>
        </w:rPr>
      </w:pPr>
    </w:p>
    <w:p w:rsidR="00304608" w:rsidRDefault="00304608" w:rsidP="00304608">
      <w:pPr>
        <w:spacing w:after="0" w:line="276" w:lineRule="auto"/>
        <w:jc w:val="both"/>
        <w:rPr>
          <w:rFonts w:ascii="Bookman Old Style" w:hAnsi="Bookman Old Style"/>
          <w:sz w:val="18"/>
          <w:szCs w:val="20"/>
        </w:rPr>
      </w:pPr>
    </w:p>
    <w:p w:rsidR="00304608" w:rsidRPr="00AD0AE2" w:rsidRDefault="00304608" w:rsidP="00304608">
      <w:pPr>
        <w:spacing w:after="0" w:line="276" w:lineRule="auto"/>
        <w:jc w:val="both"/>
        <w:rPr>
          <w:rFonts w:ascii="Bookman Old Style" w:hAnsi="Bookman Old Style"/>
          <w:sz w:val="18"/>
          <w:szCs w:val="20"/>
        </w:rPr>
      </w:pPr>
    </w:p>
    <w:p w:rsidR="00304608" w:rsidRPr="00603A2E" w:rsidRDefault="00304608" w:rsidP="00304608">
      <w:pPr>
        <w:pBdr>
          <w:top w:val="dotted" w:sz="4" w:space="1" w:color="000000"/>
        </w:pBdr>
        <w:spacing w:after="0" w:line="240" w:lineRule="auto"/>
        <w:jc w:val="center"/>
        <w:rPr>
          <w:rFonts w:ascii="Bookman Old Style" w:eastAsia="Times New Roman" w:hAnsi="Bookman Old Style" w:cs="Arial"/>
          <w:b/>
          <w:sz w:val="16"/>
          <w:szCs w:val="16"/>
          <w:lang w:eastAsia="fr-FR"/>
        </w:rPr>
      </w:pPr>
      <w:r w:rsidRPr="00603A2E">
        <w:rPr>
          <w:rFonts w:ascii="Bookman Old Style" w:eastAsia="Times New Roman" w:hAnsi="Bookman Old Style" w:cs="Arial"/>
          <w:b/>
          <w:sz w:val="16"/>
          <w:szCs w:val="16"/>
          <w:lang w:eastAsia="fr-FR"/>
        </w:rPr>
        <w:t>Ministère de la Cohésion des territoires et des Relations avec les collectivités territoriales</w:t>
      </w:r>
    </w:p>
    <w:p w:rsidR="00304608" w:rsidRDefault="00304608" w:rsidP="00304608">
      <w:pPr>
        <w:pBdr>
          <w:top w:val="dotted" w:sz="4" w:space="1" w:color="000000"/>
        </w:pBdr>
        <w:spacing w:after="0" w:line="240" w:lineRule="auto"/>
        <w:jc w:val="center"/>
        <w:rPr>
          <w:rFonts w:ascii="Bookman Old Style" w:eastAsia="Times New Roman" w:hAnsi="Bookman Old Style" w:cs="Arial"/>
          <w:b/>
          <w:sz w:val="16"/>
          <w:szCs w:val="16"/>
          <w:lang w:eastAsia="fr-FR"/>
        </w:rPr>
      </w:pPr>
      <w:r w:rsidRPr="00603A2E">
        <w:rPr>
          <w:rFonts w:ascii="Bookman Old Style" w:eastAsia="Times New Roman" w:hAnsi="Bookman Old Style" w:cs="Arial"/>
          <w:b/>
          <w:sz w:val="16"/>
          <w:szCs w:val="16"/>
          <w:lang w:eastAsia="fr-FR"/>
        </w:rPr>
        <w:t xml:space="preserve">Direction Générale des Collectivités Locales </w:t>
      </w:r>
    </w:p>
    <w:p w:rsidR="00304608" w:rsidRPr="00603A2E" w:rsidRDefault="00304608" w:rsidP="00304608">
      <w:pPr>
        <w:pBdr>
          <w:top w:val="dotted" w:sz="4" w:space="1" w:color="000000"/>
        </w:pBdr>
        <w:spacing w:after="0" w:line="240" w:lineRule="auto"/>
        <w:jc w:val="center"/>
        <w:rPr>
          <w:rFonts w:ascii="Bookman Old Style" w:eastAsia="Times New Roman" w:hAnsi="Bookman Old Style" w:cs="Arial"/>
          <w:sz w:val="16"/>
          <w:szCs w:val="16"/>
          <w:lang w:eastAsia="fr-FR"/>
        </w:rPr>
      </w:pPr>
      <w:r w:rsidRPr="00603A2E">
        <w:rPr>
          <w:rFonts w:ascii="Bookman Old Style" w:eastAsia="Times New Roman" w:hAnsi="Bookman Old Style" w:cs="Arial"/>
          <w:sz w:val="16"/>
          <w:szCs w:val="16"/>
          <w:lang w:eastAsia="fr-FR"/>
        </w:rPr>
        <w:t>2, Place des Saussaies – 75800 PARIS Cedex 08 – Téléphone : 01 40 07 68 29 – Télécopie : 01 49 27 34 29</w:t>
      </w:r>
    </w:p>
    <w:p w:rsidR="00304608" w:rsidRPr="00892242" w:rsidRDefault="00304608" w:rsidP="00304608">
      <w:pPr>
        <w:spacing w:after="0" w:line="276" w:lineRule="auto"/>
        <w:jc w:val="center"/>
        <w:rPr>
          <w:rFonts w:ascii="Bookman Old Style" w:hAnsi="Bookman Old Style"/>
          <w:sz w:val="20"/>
          <w:szCs w:val="20"/>
        </w:rPr>
      </w:pPr>
      <w:r w:rsidRPr="00603A2E">
        <w:rPr>
          <w:rFonts w:ascii="Bookman Old Style" w:eastAsia="Calibri" w:hAnsi="Bookman Old Style" w:cs="Arial"/>
          <w:sz w:val="16"/>
          <w:szCs w:val="16"/>
        </w:rPr>
        <w:t xml:space="preserve">Directeur de la publication : </w:t>
      </w:r>
      <w:r>
        <w:rPr>
          <w:rFonts w:ascii="Bookman Old Style" w:eastAsia="Calibri" w:hAnsi="Bookman Old Style" w:cs="Arial"/>
          <w:sz w:val="16"/>
          <w:szCs w:val="16"/>
        </w:rPr>
        <w:t>Stanislas BOURRON</w:t>
      </w:r>
    </w:p>
    <w:sectPr w:rsidR="00304608" w:rsidRPr="00892242" w:rsidSect="00AD0AE2">
      <w:type w:val="continuous"/>
      <w:pgSz w:w="11906" w:h="16838"/>
      <w:pgMar w:top="992" w:right="851" w:bottom="99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D1B" w:rsidRDefault="00224D1B" w:rsidP="00364429">
      <w:pPr>
        <w:spacing w:after="0" w:line="240" w:lineRule="auto"/>
      </w:pPr>
      <w:r>
        <w:separator/>
      </w:r>
    </w:p>
  </w:endnote>
  <w:endnote w:type="continuationSeparator" w:id="0">
    <w:p w:rsidR="00224D1B" w:rsidRDefault="00224D1B" w:rsidP="00364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 Helvetica Condensed">
    <w:altName w:val="Times New Roman"/>
    <w:charset w:val="00"/>
    <w:family w:val="auto"/>
    <w:pitch w:val="variable"/>
    <w:sig w:usb0="03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773687"/>
      <w:docPartObj>
        <w:docPartGallery w:val="Page Numbers (Bottom of Page)"/>
        <w:docPartUnique/>
      </w:docPartObj>
    </w:sdtPr>
    <w:sdtContent>
      <w:p w:rsidR="00224D1B" w:rsidRDefault="006A7ADA">
        <w:pPr>
          <w:pStyle w:val="Pieddepage"/>
          <w:jc w:val="right"/>
        </w:pPr>
        <w:fldSimple w:instr=" PAGE   \* MERGEFORMAT ">
          <w:r w:rsidR="004C6A07">
            <w:rPr>
              <w:noProof/>
            </w:rPr>
            <w:t>1</w:t>
          </w:r>
        </w:fldSimple>
      </w:p>
    </w:sdtContent>
  </w:sdt>
  <w:p w:rsidR="00224D1B" w:rsidRDefault="00224D1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944829"/>
      <w:docPartObj>
        <w:docPartGallery w:val="Page Numbers (Bottom of Page)"/>
        <w:docPartUnique/>
      </w:docPartObj>
    </w:sdtPr>
    <w:sdtContent>
      <w:p w:rsidR="00224D1B" w:rsidRDefault="006A7ADA">
        <w:pPr>
          <w:pStyle w:val="Pieddepage"/>
          <w:jc w:val="right"/>
        </w:pPr>
        <w:fldSimple w:instr=" PAGE   \* MERGEFORMAT ">
          <w:r w:rsidR="004C6A07">
            <w:rPr>
              <w:noProof/>
            </w:rPr>
            <w:t>4</w:t>
          </w:r>
        </w:fldSimple>
      </w:p>
    </w:sdtContent>
  </w:sdt>
  <w:p w:rsidR="00224D1B" w:rsidRDefault="00224D1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D1B" w:rsidRDefault="00224D1B" w:rsidP="00364429">
      <w:pPr>
        <w:spacing w:after="0" w:line="240" w:lineRule="auto"/>
      </w:pPr>
      <w:r>
        <w:separator/>
      </w:r>
    </w:p>
  </w:footnote>
  <w:footnote w:type="continuationSeparator" w:id="0">
    <w:p w:rsidR="00224D1B" w:rsidRDefault="00224D1B" w:rsidP="0036442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C2285"/>
    <w:rsid w:val="00000E23"/>
    <w:rsid w:val="00000F1A"/>
    <w:rsid w:val="00026767"/>
    <w:rsid w:val="00026C12"/>
    <w:rsid w:val="000725F9"/>
    <w:rsid w:val="00073A03"/>
    <w:rsid w:val="0008736D"/>
    <w:rsid w:val="000D39D5"/>
    <w:rsid w:val="000F56AA"/>
    <w:rsid w:val="001225CD"/>
    <w:rsid w:val="00156C42"/>
    <w:rsid w:val="00177F67"/>
    <w:rsid w:val="0019237B"/>
    <w:rsid w:val="002212A1"/>
    <w:rsid w:val="002234B6"/>
    <w:rsid w:val="00224D1B"/>
    <w:rsid w:val="00255789"/>
    <w:rsid w:val="00257D67"/>
    <w:rsid w:val="002612F2"/>
    <w:rsid w:val="00262723"/>
    <w:rsid w:val="00285498"/>
    <w:rsid w:val="00293BE6"/>
    <w:rsid w:val="00304608"/>
    <w:rsid w:val="00305934"/>
    <w:rsid w:val="0032612D"/>
    <w:rsid w:val="00364429"/>
    <w:rsid w:val="003731EB"/>
    <w:rsid w:val="0039085F"/>
    <w:rsid w:val="00421E03"/>
    <w:rsid w:val="00427098"/>
    <w:rsid w:val="004409D3"/>
    <w:rsid w:val="004421BE"/>
    <w:rsid w:val="00464EAD"/>
    <w:rsid w:val="00472C18"/>
    <w:rsid w:val="0048329E"/>
    <w:rsid w:val="004C6A07"/>
    <w:rsid w:val="004D0286"/>
    <w:rsid w:val="004E004B"/>
    <w:rsid w:val="004E4342"/>
    <w:rsid w:val="004E66AC"/>
    <w:rsid w:val="0052565D"/>
    <w:rsid w:val="00527557"/>
    <w:rsid w:val="005A3BF1"/>
    <w:rsid w:val="005A4236"/>
    <w:rsid w:val="005C2285"/>
    <w:rsid w:val="005D7809"/>
    <w:rsid w:val="00607DB6"/>
    <w:rsid w:val="00641EAD"/>
    <w:rsid w:val="00670429"/>
    <w:rsid w:val="006A1F4F"/>
    <w:rsid w:val="006A7ADA"/>
    <w:rsid w:val="006B692C"/>
    <w:rsid w:val="006C777E"/>
    <w:rsid w:val="006E33A0"/>
    <w:rsid w:val="006F1AAF"/>
    <w:rsid w:val="006F50C6"/>
    <w:rsid w:val="00727135"/>
    <w:rsid w:val="00765957"/>
    <w:rsid w:val="00785781"/>
    <w:rsid w:val="007A31EE"/>
    <w:rsid w:val="007E26B5"/>
    <w:rsid w:val="007E6EA7"/>
    <w:rsid w:val="008205C9"/>
    <w:rsid w:val="00841150"/>
    <w:rsid w:val="00843C5E"/>
    <w:rsid w:val="00870FDF"/>
    <w:rsid w:val="00892242"/>
    <w:rsid w:val="008B2639"/>
    <w:rsid w:val="008D7A0A"/>
    <w:rsid w:val="00921943"/>
    <w:rsid w:val="00953B4B"/>
    <w:rsid w:val="00991680"/>
    <w:rsid w:val="009B2196"/>
    <w:rsid w:val="009D4A48"/>
    <w:rsid w:val="009E177A"/>
    <w:rsid w:val="00A0145C"/>
    <w:rsid w:val="00A43776"/>
    <w:rsid w:val="00AB6274"/>
    <w:rsid w:val="00AD0AE2"/>
    <w:rsid w:val="00AE1298"/>
    <w:rsid w:val="00B06F54"/>
    <w:rsid w:val="00B46B10"/>
    <w:rsid w:val="00B74E78"/>
    <w:rsid w:val="00BC2446"/>
    <w:rsid w:val="00BE7021"/>
    <w:rsid w:val="00BF193B"/>
    <w:rsid w:val="00C07BAC"/>
    <w:rsid w:val="00C121D1"/>
    <w:rsid w:val="00C52DFF"/>
    <w:rsid w:val="00C85B19"/>
    <w:rsid w:val="00CB54D5"/>
    <w:rsid w:val="00CD4763"/>
    <w:rsid w:val="00D1611F"/>
    <w:rsid w:val="00D44F19"/>
    <w:rsid w:val="00D74307"/>
    <w:rsid w:val="00D8179D"/>
    <w:rsid w:val="00D97699"/>
    <w:rsid w:val="00DA189B"/>
    <w:rsid w:val="00DA55D9"/>
    <w:rsid w:val="00DB186A"/>
    <w:rsid w:val="00DB794D"/>
    <w:rsid w:val="00DC5DAD"/>
    <w:rsid w:val="00DF0588"/>
    <w:rsid w:val="00E02EAF"/>
    <w:rsid w:val="00E5271E"/>
    <w:rsid w:val="00E7356E"/>
    <w:rsid w:val="00EA6762"/>
    <w:rsid w:val="00EF4FC3"/>
    <w:rsid w:val="00F04672"/>
    <w:rsid w:val="00F8133B"/>
    <w:rsid w:val="00FA3A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EA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4E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4E78"/>
    <w:rPr>
      <w:rFonts w:ascii="Tahoma" w:hAnsi="Tahoma" w:cs="Tahoma"/>
      <w:sz w:val="16"/>
      <w:szCs w:val="16"/>
    </w:rPr>
  </w:style>
  <w:style w:type="paragraph" w:styleId="En-tte">
    <w:name w:val="header"/>
    <w:basedOn w:val="Normal"/>
    <w:link w:val="En-tteCar"/>
    <w:uiPriority w:val="99"/>
    <w:semiHidden/>
    <w:unhideWhenUsed/>
    <w:rsid w:val="0036442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64429"/>
  </w:style>
  <w:style w:type="paragraph" w:styleId="Pieddepage">
    <w:name w:val="footer"/>
    <w:basedOn w:val="Normal"/>
    <w:link w:val="PieddepageCar"/>
    <w:uiPriority w:val="99"/>
    <w:unhideWhenUsed/>
    <w:rsid w:val="003644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4429"/>
  </w:style>
  <w:style w:type="paragraph" w:styleId="Sansinterligne">
    <w:name w:val="No Spacing"/>
    <w:uiPriority w:val="99"/>
    <w:qFormat/>
    <w:rsid w:val="000D39D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6604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88BD-2DC8-4677-AD02-7E76EA60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2731</TotalTime>
  <Pages>12</Pages>
  <Words>3501</Words>
  <Characters>19260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22716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 Xavier</dc:creator>
  <cp:lastModifiedBy>NIEL Xavier</cp:lastModifiedBy>
  <cp:revision>30</cp:revision>
  <cp:lastPrinted>2021-01-26T14:43:00Z</cp:lastPrinted>
  <dcterms:created xsi:type="dcterms:W3CDTF">2021-01-11T09:10:00Z</dcterms:created>
  <dcterms:modified xsi:type="dcterms:W3CDTF">2021-02-02T11:39:00Z</dcterms:modified>
</cp:coreProperties>
</file>